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8FEB50A" w:rsidR="002C7045" w:rsidRDefault="00343653" w:rsidP="002C7045">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759"/>
        <w:gridCol w:w="1897"/>
        <w:gridCol w:w="1179"/>
        <w:gridCol w:w="657"/>
        <w:gridCol w:w="784"/>
        <w:gridCol w:w="1139"/>
        <w:gridCol w:w="836"/>
        <w:gridCol w:w="928"/>
      </w:tblGrid>
      <w:tr w:rsidR="001E3A7E" w:rsidRPr="000A6D9D" w14:paraId="003C0387" w14:textId="77777777" w:rsidTr="001E3A7E">
        <w:trPr>
          <w:trHeight w:val="1035"/>
        </w:trPr>
        <w:tc>
          <w:tcPr>
            <w:tcW w:w="238" w:type="pct"/>
            <w:shd w:val="clear" w:color="auto" w:fill="auto"/>
            <w:vAlign w:val="center"/>
          </w:tcPr>
          <w:p w14:paraId="32463090" w14:textId="77777777" w:rsidR="001E3A7E" w:rsidRPr="000A6D9D" w:rsidRDefault="001E3A7E" w:rsidP="00D26986">
            <w:pPr>
              <w:tabs>
                <w:tab w:val="left" w:pos="1276"/>
              </w:tabs>
              <w:snapToGrid w:val="0"/>
              <w:jc w:val="center"/>
              <w:rPr>
                <w:b/>
                <w:bCs/>
                <w:sz w:val="24"/>
                <w:szCs w:val="24"/>
              </w:rPr>
            </w:pPr>
            <w:r w:rsidRPr="000A6D9D">
              <w:rPr>
                <w:b/>
                <w:bCs/>
                <w:sz w:val="24"/>
                <w:szCs w:val="24"/>
              </w:rPr>
              <w:t>№</w:t>
            </w:r>
          </w:p>
        </w:tc>
        <w:tc>
          <w:tcPr>
            <w:tcW w:w="946" w:type="pct"/>
            <w:shd w:val="clear" w:color="auto" w:fill="auto"/>
            <w:vAlign w:val="center"/>
          </w:tcPr>
          <w:p w14:paraId="49C1C354" w14:textId="77777777" w:rsidR="001E3A7E" w:rsidRPr="000A6D9D" w:rsidRDefault="001E3A7E" w:rsidP="00D26986">
            <w:pPr>
              <w:tabs>
                <w:tab w:val="left" w:pos="1276"/>
              </w:tabs>
              <w:snapToGrid w:val="0"/>
              <w:jc w:val="center"/>
              <w:rPr>
                <w:b/>
                <w:bCs/>
                <w:sz w:val="24"/>
                <w:szCs w:val="24"/>
              </w:rPr>
            </w:pPr>
            <w:r w:rsidRPr="000A6D9D">
              <w:rPr>
                <w:b/>
                <w:bCs/>
                <w:sz w:val="24"/>
                <w:szCs w:val="24"/>
              </w:rPr>
              <w:t>Наименование</w:t>
            </w:r>
          </w:p>
        </w:tc>
        <w:tc>
          <w:tcPr>
            <w:tcW w:w="1021" w:type="pct"/>
            <w:shd w:val="clear" w:color="auto" w:fill="auto"/>
            <w:vAlign w:val="center"/>
          </w:tcPr>
          <w:p w14:paraId="296F3E24" w14:textId="77777777" w:rsidR="001E3A7E" w:rsidRPr="000A6D9D" w:rsidRDefault="001E3A7E" w:rsidP="00D26986">
            <w:pPr>
              <w:tabs>
                <w:tab w:val="left" w:pos="1276"/>
              </w:tabs>
              <w:snapToGrid w:val="0"/>
              <w:jc w:val="center"/>
              <w:rPr>
                <w:b/>
                <w:bCs/>
                <w:sz w:val="24"/>
                <w:szCs w:val="24"/>
              </w:rPr>
            </w:pPr>
            <w:r w:rsidRPr="000A6D9D">
              <w:rPr>
                <w:b/>
                <w:bCs/>
                <w:sz w:val="24"/>
                <w:szCs w:val="24"/>
              </w:rPr>
              <w:t>Краткая характеристика</w:t>
            </w:r>
          </w:p>
        </w:tc>
        <w:tc>
          <w:tcPr>
            <w:tcW w:w="633" w:type="pct"/>
            <w:vAlign w:val="center"/>
          </w:tcPr>
          <w:p w14:paraId="2BAFAFA4" w14:textId="77777777" w:rsidR="001E3A7E" w:rsidRPr="000A6D9D" w:rsidRDefault="001E3A7E"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51" w:type="pct"/>
            <w:shd w:val="clear" w:color="auto" w:fill="auto"/>
            <w:vAlign w:val="center"/>
          </w:tcPr>
          <w:p w14:paraId="0DF1E1C6" w14:textId="77777777" w:rsidR="001E3A7E" w:rsidRPr="000A6D9D" w:rsidRDefault="001E3A7E" w:rsidP="00D26986">
            <w:pPr>
              <w:tabs>
                <w:tab w:val="left" w:pos="1276"/>
              </w:tabs>
              <w:snapToGrid w:val="0"/>
              <w:jc w:val="center"/>
              <w:rPr>
                <w:b/>
                <w:bCs/>
                <w:sz w:val="24"/>
                <w:szCs w:val="24"/>
              </w:rPr>
            </w:pPr>
            <w:r w:rsidRPr="000A6D9D">
              <w:rPr>
                <w:b/>
                <w:bCs/>
                <w:sz w:val="24"/>
                <w:szCs w:val="24"/>
              </w:rPr>
              <w:t>Ед. изм.</w:t>
            </w:r>
          </w:p>
        </w:tc>
        <w:tc>
          <w:tcPr>
            <w:tcW w:w="419" w:type="pct"/>
            <w:shd w:val="clear" w:color="auto" w:fill="auto"/>
            <w:vAlign w:val="center"/>
          </w:tcPr>
          <w:p w14:paraId="136F2F71" w14:textId="77777777" w:rsidR="001E3A7E" w:rsidRPr="000A6D9D" w:rsidRDefault="001E3A7E"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414" w:type="pct"/>
            <w:vAlign w:val="center"/>
          </w:tcPr>
          <w:p w14:paraId="1D56CF2B" w14:textId="755BD544" w:rsidR="001E3A7E" w:rsidRPr="000A6D9D" w:rsidRDefault="001E3A7E" w:rsidP="001E3A7E">
            <w:pPr>
              <w:tabs>
                <w:tab w:val="left" w:pos="1276"/>
              </w:tabs>
              <w:snapToGrid w:val="0"/>
              <w:jc w:val="center"/>
              <w:rPr>
                <w:b/>
                <w:bCs/>
                <w:sz w:val="24"/>
                <w:szCs w:val="24"/>
              </w:rPr>
            </w:pPr>
            <w:r>
              <w:rPr>
                <w:rFonts w:eastAsiaTheme="minorEastAsia"/>
                <w:b/>
                <w:bCs/>
                <w:sz w:val="24"/>
                <w:szCs w:val="24"/>
                <w:lang w:eastAsia="zh-CN"/>
              </w:rPr>
              <w:t>Объем услуг (кол-во месяцев)</w:t>
            </w:r>
          </w:p>
        </w:tc>
        <w:tc>
          <w:tcPr>
            <w:tcW w:w="481" w:type="pct"/>
            <w:shd w:val="clear" w:color="auto" w:fill="auto"/>
            <w:vAlign w:val="center"/>
          </w:tcPr>
          <w:p w14:paraId="14F99D23" w14:textId="651C2D1E" w:rsidR="001E3A7E" w:rsidRPr="000A6D9D" w:rsidRDefault="001E3A7E"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w:t>
            </w:r>
            <w:r w:rsidR="005A2023">
              <w:rPr>
                <w:b/>
                <w:bCs/>
                <w:sz w:val="24"/>
                <w:szCs w:val="24"/>
              </w:rPr>
              <w:t>1 месяц</w:t>
            </w:r>
          </w:p>
        </w:tc>
        <w:tc>
          <w:tcPr>
            <w:tcW w:w="497" w:type="pct"/>
            <w:shd w:val="clear" w:color="auto" w:fill="auto"/>
            <w:vAlign w:val="center"/>
          </w:tcPr>
          <w:p w14:paraId="470E0754" w14:textId="77777777" w:rsidR="001E3A7E" w:rsidRPr="000A6D9D" w:rsidRDefault="001E3A7E"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1E3A7E" w:rsidRPr="000A6D9D" w14:paraId="6374EEF2" w14:textId="77777777" w:rsidTr="001E3A7E">
        <w:trPr>
          <w:trHeight w:val="489"/>
        </w:trPr>
        <w:tc>
          <w:tcPr>
            <w:tcW w:w="238" w:type="pct"/>
            <w:shd w:val="clear" w:color="auto" w:fill="auto"/>
            <w:vAlign w:val="center"/>
          </w:tcPr>
          <w:p w14:paraId="195FF5A3" w14:textId="77777777" w:rsidR="001E3A7E" w:rsidRPr="00AD3A8A" w:rsidRDefault="001E3A7E" w:rsidP="00D26986">
            <w:pPr>
              <w:tabs>
                <w:tab w:val="left" w:pos="1276"/>
              </w:tabs>
              <w:snapToGrid w:val="0"/>
              <w:jc w:val="center"/>
              <w:rPr>
                <w:sz w:val="24"/>
                <w:szCs w:val="24"/>
              </w:rPr>
            </w:pPr>
            <w:r w:rsidRPr="00AD3A8A">
              <w:rPr>
                <w:sz w:val="24"/>
                <w:szCs w:val="24"/>
              </w:rPr>
              <w:t>1</w:t>
            </w:r>
          </w:p>
        </w:tc>
        <w:tc>
          <w:tcPr>
            <w:tcW w:w="946" w:type="pct"/>
            <w:shd w:val="clear" w:color="auto" w:fill="auto"/>
            <w:vAlign w:val="center"/>
          </w:tcPr>
          <w:p w14:paraId="793D4B42" w14:textId="77777777" w:rsidR="001E3A7E" w:rsidRDefault="001E3A7E" w:rsidP="00D26986">
            <w:pPr>
              <w:tabs>
                <w:tab w:val="left" w:pos="1276"/>
              </w:tabs>
              <w:snapToGrid w:val="0"/>
            </w:pPr>
          </w:p>
          <w:p w14:paraId="115F2C69" w14:textId="3CA3F6BB" w:rsidR="001E3A7E" w:rsidRPr="00AD3A8A" w:rsidRDefault="001E3A7E" w:rsidP="00D26986">
            <w:pPr>
              <w:tabs>
                <w:tab w:val="left" w:pos="1276"/>
              </w:tabs>
              <w:snapToGrid w:val="0"/>
              <w:rPr>
                <w:sz w:val="24"/>
                <w:szCs w:val="24"/>
              </w:rPr>
            </w:pPr>
          </w:p>
        </w:tc>
        <w:tc>
          <w:tcPr>
            <w:tcW w:w="1021" w:type="pct"/>
            <w:shd w:val="clear" w:color="auto" w:fill="auto"/>
            <w:vAlign w:val="center"/>
          </w:tcPr>
          <w:p w14:paraId="108244B6" w14:textId="77777777" w:rsidR="001E3A7E" w:rsidRDefault="001E3A7E" w:rsidP="00D26986">
            <w:pPr>
              <w:tabs>
                <w:tab w:val="left" w:pos="1276"/>
              </w:tabs>
            </w:pPr>
          </w:p>
          <w:p w14:paraId="0B3770DA" w14:textId="3BC1AFCE" w:rsidR="001E3A7E" w:rsidRPr="00AD3A8A" w:rsidRDefault="001E3A7E" w:rsidP="00D26986">
            <w:pPr>
              <w:tabs>
                <w:tab w:val="left" w:pos="1276"/>
              </w:tabs>
              <w:rPr>
                <w:sz w:val="24"/>
                <w:szCs w:val="24"/>
              </w:rPr>
            </w:pPr>
          </w:p>
        </w:tc>
        <w:tc>
          <w:tcPr>
            <w:tcW w:w="633" w:type="pct"/>
            <w:vAlign w:val="center"/>
          </w:tcPr>
          <w:p w14:paraId="3CB5BB1F" w14:textId="77777777" w:rsidR="001E3A7E" w:rsidRDefault="001E3A7E" w:rsidP="00D26986">
            <w:pPr>
              <w:tabs>
                <w:tab w:val="left" w:pos="1276"/>
              </w:tabs>
              <w:jc w:val="center"/>
              <w:rPr>
                <w:lang w:val="en-US"/>
              </w:rPr>
            </w:pPr>
          </w:p>
          <w:p w14:paraId="68F10369" w14:textId="457F38E0" w:rsidR="001E3A7E" w:rsidRPr="00AD3A8A" w:rsidRDefault="001E3A7E" w:rsidP="00D26986">
            <w:pPr>
              <w:tabs>
                <w:tab w:val="left" w:pos="1276"/>
              </w:tabs>
              <w:jc w:val="center"/>
              <w:rPr>
                <w:sz w:val="24"/>
                <w:szCs w:val="24"/>
              </w:rPr>
            </w:pPr>
          </w:p>
        </w:tc>
        <w:tc>
          <w:tcPr>
            <w:tcW w:w="351" w:type="pct"/>
            <w:shd w:val="clear" w:color="auto" w:fill="auto"/>
            <w:vAlign w:val="center"/>
          </w:tcPr>
          <w:p w14:paraId="1C602DC7" w14:textId="77777777" w:rsidR="001E3A7E" w:rsidRDefault="001E3A7E" w:rsidP="00D26986">
            <w:pPr>
              <w:tabs>
                <w:tab w:val="left" w:pos="1276"/>
              </w:tabs>
              <w:snapToGrid w:val="0"/>
              <w:ind w:right="-115" w:hanging="106"/>
              <w:jc w:val="center"/>
            </w:pPr>
          </w:p>
          <w:p w14:paraId="011CC997" w14:textId="64FEC1DD" w:rsidR="001E3A7E" w:rsidRPr="00AD3A8A" w:rsidRDefault="001E3A7E" w:rsidP="00D26986">
            <w:pPr>
              <w:tabs>
                <w:tab w:val="left" w:pos="1276"/>
              </w:tabs>
              <w:snapToGrid w:val="0"/>
              <w:ind w:right="-115" w:hanging="106"/>
              <w:jc w:val="center"/>
              <w:rPr>
                <w:sz w:val="24"/>
                <w:szCs w:val="24"/>
              </w:rPr>
            </w:pPr>
          </w:p>
        </w:tc>
        <w:tc>
          <w:tcPr>
            <w:tcW w:w="419" w:type="pct"/>
            <w:shd w:val="clear" w:color="auto" w:fill="auto"/>
            <w:vAlign w:val="center"/>
          </w:tcPr>
          <w:p w14:paraId="1B01B7F0" w14:textId="77777777" w:rsidR="001E3A7E" w:rsidRDefault="001E3A7E" w:rsidP="00D26986">
            <w:pPr>
              <w:tabs>
                <w:tab w:val="left" w:pos="631"/>
              </w:tabs>
              <w:snapToGrid w:val="0"/>
              <w:jc w:val="center"/>
              <w:rPr>
                <w:sz w:val="24"/>
                <w:szCs w:val="24"/>
              </w:rPr>
            </w:pPr>
          </w:p>
          <w:p w14:paraId="486E67DE" w14:textId="283BD907" w:rsidR="001E3A7E" w:rsidRPr="00AD3A8A" w:rsidRDefault="001E3A7E" w:rsidP="00D26986">
            <w:pPr>
              <w:tabs>
                <w:tab w:val="left" w:pos="631"/>
              </w:tabs>
              <w:snapToGrid w:val="0"/>
              <w:jc w:val="center"/>
              <w:rPr>
                <w:sz w:val="24"/>
                <w:szCs w:val="24"/>
              </w:rPr>
            </w:pPr>
          </w:p>
        </w:tc>
        <w:tc>
          <w:tcPr>
            <w:tcW w:w="414" w:type="pct"/>
          </w:tcPr>
          <w:p w14:paraId="5CA92448" w14:textId="77777777" w:rsidR="001E3A7E" w:rsidRPr="00AD3A8A" w:rsidRDefault="001E3A7E" w:rsidP="00D26986">
            <w:pPr>
              <w:tabs>
                <w:tab w:val="left" w:pos="631"/>
              </w:tabs>
              <w:snapToGrid w:val="0"/>
              <w:jc w:val="center"/>
              <w:rPr>
                <w:sz w:val="24"/>
                <w:szCs w:val="24"/>
              </w:rPr>
            </w:pPr>
          </w:p>
        </w:tc>
        <w:tc>
          <w:tcPr>
            <w:tcW w:w="481" w:type="pct"/>
            <w:shd w:val="clear" w:color="auto" w:fill="auto"/>
            <w:vAlign w:val="center"/>
          </w:tcPr>
          <w:p w14:paraId="0D33BBDE" w14:textId="26566D3A" w:rsidR="001E3A7E" w:rsidRPr="00AD3A8A" w:rsidRDefault="001E3A7E" w:rsidP="00D26986">
            <w:pPr>
              <w:tabs>
                <w:tab w:val="left" w:pos="631"/>
              </w:tabs>
              <w:snapToGrid w:val="0"/>
              <w:jc w:val="center"/>
              <w:rPr>
                <w:sz w:val="24"/>
                <w:szCs w:val="24"/>
              </w:rPr>
            </w:pPr>
          </w:p>
        </w:tc>
        <w:tc>
          <w:tcPr>
            <w:tcW w:w="497" w:type="pct"/>
            <w:shd w:val="clear" w:color="auto" w:fill="auto"/>
            <w:vAlign w:val="center"/>
          </w:tcPr>
          <w:p w14:paraId="14BAF5D0" w14:textId="77777777" w:rsidR="001E3A7E" w:rsidRPr="00AD3A8A" w:rsidRDefault="001E3A7E"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lastRenderedPageBreak/>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1068" w14:textId="77777777" w:rsidR="00EA4028" w:rsidRDefault="00EA4028" w:rsidP="008F5299">
      <w:r>
        <w:separator/>
      </w:r>
    </w:p>
  </w:endnote>
  <w:endnote w:type="continuationSeparator" w:id="0">
    <w:p w14:paraId="2DE12C4C" w14:textId="77777777" w:rsidR="00EA4028" w:rsidRDefault="00EA4028"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ACD9" w14:textId="77777777" w:rsidR="00EA4028" w:rsidRDefault="00EA4028" w:rsidP="008F5299">
      <w:r>
        <w:separator/>
      </w:r>
    </w:p>
  </w:footnote>
  <w:footnote w:type="continuationSeparator" w:id="0">
    <w:p w14:paraId="524625A2" w14:textId="77777777" w:rsidR="00EA4028" w:rsidRDefault="00EA4028"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A7E"/>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A2023"/>
    <w:rsid w:val="005F4678"/>
    <w:rsid w:val="006044AB"/>
    <w:rsid w:val="006113C3"/>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92218"/>
    <w:rsid w:val="00AB6A2A"/>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A29F1"/>
    <w:rsid w:val="00EA4028"/>
    <w:rsid w:val="00EE5CDF"/>
    <w:rsid w:val="00F1243D"/>
    <w:rsid w:val="00F15FC7"/>
    <w:rsid w:val="00F66530"/>
    <w:rsid w:val="00F67E97"/>
    <w:rsid w:val="00F754A0"/>
    <w:rsid w:val="00F766CA"/>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Bakdaulet Mukhtar</cp:lastModifiedBy>
  <cp:revision>6</cp:revision>
  <dcterms:created xsi:type="dcterms:W3CDTF">2021-05-27T04:53:00Z</dcterms:created>
  <dcterms:modified xsi:type="dcterms:W3CDTF">2021-12-20T17:57:00Z</dcterms:modified>
</cp:coreProperties>
</file>