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41A7" w14:textId="77777777" w:rsidR="00C462C3" w:rsidRPr="00F754A0" w:rsidRDefault="00C462C3" w:rsidP="00C462C3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>Мы, НАО «МЦЗТИП», созданные под эгидой Организации Объединённых Наций по инициативе Первого Президента Республики Казахстан - Елбасы Н.А.Назарбаева,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46F7CB04" w14:textId="116A08A3" w:rsidR="00C462C3" w:rsidRDefault="00C462C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BDA0193" w14:textId="77777777" w:rsidR="00C462C3" w:rsidRDefault="00C462C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5591C0F7" w14:textId="0B0B2E31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0F909D8D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C462C3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C462C3"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F9BF2F1" w14:textId="2B7DC1E7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 w:rsidR="00C462C3">
        <w:rPr>
          <w:sz w:val="24"/>
          <w:szCs w:val="24"/>
        </w:rPr>
        <w:t xml:space="preserve">И.о. </w:t>
      </w:r>
      <w:r w:rsidR="00F15FC7">
        <w:rPr>
          <w:sz w:val="24"/>
          <w:szCs w:val="24"/>
        </w:rPr>
        <w:t xml:space="preserve">Председателя Правления </w:t>
      </w:r>
      <w:r w:rsidR="00C462C3">
        <w:rPr>
          <w:sz w:val="24"/>
          <w:szCs w:val="24"/>
        </w:rPr>
        <w:t>Игеновой Жанар Райымкуловны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462C3">
        <w:rPr>
          <w:sz w:val="24"/>
          <w:szCs w:val="24"/>
        </w:rPr>
        <w:t>____________________________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462C3">
        <w:rPr>
          <w:sz w:val="24"/>
          <w:szCs w:val="24"/>
        </w:rPr>
        <w:t>________________________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87526D">
        <w:rPr>
          <w:sz w:val="24"/>
          <w:szCs w:val="24"/>
        </w:rPr>
        <w:t>Устава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87526D">
        <w:rPr>
          <w:sz w:val="24"/>
          <w:szCs w:val="24"/>
        </w:rPr>
        <w:t xml:space="preserve">с </w:t>
      </w:r>
      <w:r w:rsidR="00C462C3">
        <w:rPr>
          <w:sz w:val="24"/>
          <w:szCs w:val="24"/>
        </w:rPr>
        <w:t>______________________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3E18742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4B2BCF29" w14:textId="1CE22EB4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EF7C78" w:rsidRPr="00EF7C78">
        <w:rPr>
          <w:sz w:val="24"/>
          <w:szCs w:val="24"/>
        </w:rPr>
        <w:t>«</w:t>
      </w:r>
      <w:r w:rsidR="00EB27D3" w:rsidRPr="00EB27D3">
        <w:rPr>
          <w:sz w:val="24"/>
          <w:szCs w:val="24"/>
        </w:rPr>
        <w:t>«Услуги по сопровождению и технической поддержке информационной системы»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</w:t>
      </w:r>
    </w:p>
    <w:p w14:paraId="2C267A18" w14:textId="296BD8A9" w:rsidR="00CC0B2B" w:rsidRDefault="00CC0B2B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на основании заявок Заказчика, передаваемых Поставщику </w:t>
      </w:r>
      <w:r w:rsidR="00EA0B0B">
        <w:rPr>
          <w:sz w:val="24"/>
          <w:szCs w:val="24"/>
        </w:rPr>
        <w:t>по мере возникновения необходимости, и самостоятельно Поставщиком по мере выхода нового релиза.</w:t>
      </w:r>
    </w:p>
    <w:p w14:paraId="2963925A" w14:textId="68A52A72" w:rsidR="00EA0B0B" w:rsidRPr="00AD54E2" w:rsidRDefault="00EA0B0B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между Заказчиком и Поставщиком может также осуществляться посредством электронной почты, телефонной связи и прочими средствами связи.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59ACAC2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EF7C78">
        <w:rPr>
          <w:sz w:val="24"/>
          <w:szCs w:val="24"/>
        </w:rPr>
        <w:t>г. Нур-Султан, ул. Мангилик Ел, зд. 55, С 1.4</w:t>
      </w:r>
    </w:p>
    <w:p w14:paraId="1F29F256" w14:textId="4A755F71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1.4. Сроки оказания Услуг:</w:t>
      </w:r>
      <w:r w:rsidR="00362398" w:rsidRPr="00362398">
        <w:t xml:space="preserve"> </w:t>
      </w:r>
      <w:r w:rsidR="00362398" w:rsidRPr="00362398">
        <w:rPr>
          <w:sz w:val="24"/>
          <w:szCs w:val="24"/>
        </w:rPr>
        <w:t>с момента заключения по 31 декабря 2022 года</w:t>
      </w:r>
      <w:r w:rsidR="00EF7C78">
        <w:rPr>
          <w:sz w:val="24"/>
          <w:szCs w:val="24"/>
        </w:rPr>
        <w:t>.</w:t>
      </w:r>
    </w:p>
    <w:p w14:paraId="4116B910" w14:textId="043709D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 Стоимость Услуг и порядок оплаты</w:t>
      </w:r>
    </w:p>
    <w:p w14:paraId="68B28677" w14:textId="00D66A38" w:rsidR="00DC531D" w:rsidRPr="00AD54E2" w:rsidRDefault="00DC531D" w:rsidP="00EF7C78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462C3">
        <w:rPr>
          <w:sz w:val="24"/>
          <w:szCs w:val="24"/>
        </w:rPr>
        <w:t>____________</w:t>
      </w:r>
      <w:r w:rsidR="00EF7C78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>(</w:t>
      </w:r>
      <w:r w:rsidR="00C462C3">
        <w:rPr>
          <w:sz w:val="24"/>
          <w:szCs w:val="24"/>
        </w:rPr>
        <w:t>____________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C462C3">
        <w:rPr>
          <w:sz w:val="24"/>
          <w:szCs w:val="24"/>
        </w:rPr>
        <w:t>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C462C3">
        <w:rPr>
          <w:sz w:val="24"/>
          <w:szCs w:val="24"/>
        </w:rPr>
        <w:t>с учетом НДС/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 xml:space="preserve"> учет</w:t>
      </w:r>
      <w:r w:rsidR="00EF7C78">
        <w:rPr>
          <w:sz w:val="24"/>
          <w:szCs w:val="24"/>
        </w:rPr>
        <w:t>а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1ED7D39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r w:rsidR="00C462C3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6112AD5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r w:rsidR="00C462C3">
        <w:rPr>
          <w:sz w:val="24"/>
          <w:szCs w:val="24"/>
        </w:rPr>
        <w:t>фактически оказанных Услуг</w:t>
      </w:r>
      <w:r w:rsidR="00761329">
        <w:rPr>
          <w:sz w:val="24"/>
          <w:szCs w:val="24"/>
        </w:rPr>
        <w:t xml:space="preserve"> (счет-фактура, акт выполненных работ (оказанных </w:t>
      </w:r>
      <w:r w:rsidR="00C462C3">
        <w:rPr>
          <w:sz w:val="24"/>
          <w:szCs w:val="24"/>
        </w:rPr>
        <w:t>у</w:t>
      </w:r>
      <w:r w:rsidR="00761329">
        <w:rPr>
          <w:sz w:val="24"/>
          <w:szCs w:val="24"/>
        </w:rPr>
        <w:t>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7FC0703C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49C7CAA8" w14:textId="32E3460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881C91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672CCBE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r w:rsidR="00881C91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10C8A6F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0C7274A3" w14:textId="76C05569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1DF146CA" w14:textId="39531C3A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270A3A1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 xml:space="preserve">оказанных </w:t>
      </w:r>
      <w:r w:rsidR="00881C91">
        <w:rPr>
          <w:sz w:val="24"/>
          <w:szCs w:val="24"/>
        </w:rPr>
        <w:t>у</w:t>
      </w:r>
      <w:r w:rsidRPr="00AD54E2">
        <w:rPr>
          <w:sz w:val="24"/>
          <w:szCs w:val="24"/>
        </w:rPr>
        <w:t>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2FC9A0BC" w14:textId="5D088A2B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526C91DB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6.3. В случаях, предусмотренных пунктами 6.1. и 6.2. Договора, Заказчик вправе в безакцептном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30869B7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</w:t>
      </w:r>
      <w:proofErr w:type="gramStart"/>
      <w:r w:rsidRPr="00AD54E2">
        <w:rPr>
          <w:sz w:val="24"/>
          <w:szCs w:val="24"/>
        </w:rPr>
        <w:t xml:space="preserve">В случае задержки оплаты </w:t>
      </w:r>
      <w:r w:rsidR="00881C91" w:rsidRPr="00AD54E2">
        <w:rPr>
          <w:sz w:val="24"/>
          <w:szCs w:val="24"/>
        </w:rPr>
        <w:t>оказанных Услуг</w:t>
      </w:r>
      <w:r w:rsidRPr="00AD54E2">
        <w:rPr>
          <w:sz w:val="24"/>
          <w:szCs w:val="24"/>
        </w:rPr>
        <w:t>,</w:t>
      </w:r>
      <w:proofErr w:type="gramEnd"/>
      <w:r w:rsidRPr="00AD54E2"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92A19E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234D6328" w14:textId="6604598A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716A9D6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4F57EA26" w14:textId="3AB18FAC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7DD66762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02267DFB" w14:textId="0FE0B43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19BBB4DE" w14:textId="01EFE187" w:rsidR="00343653" w:rsidRPr="0066134A" w:rsidRDefault="0066134A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343653" w:rsidRPr="00343653">
        <w:rPr>
          <w:b/>
          <w:sz w:val="24"/>
          <w:szCs w:val="24"/>
        </w:rPr>
        <w:t>Интеллектуальная</w:t>
      </w:r>
      <w:r w:rsidR="00343653" w:rsidRPr="0066134A">
        <w:rPr>
          <w:b/>
          <w:sz w:val="24"/>
          <w:szCs w:val="24"/>
        </w:rPr>
        <w:t xml:space="preserve"> собственность</w:t>
      </w:r>
    </w:p>
    <w:p w14:paraId="7C0C084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10.1. 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</w:t>
      </w:r>
      <w:r>
        <w:rPr>
          <w:sz w:val="24"/>
          <w:szCs w:val="24"/>
        </w:rPr>
        <w:t>/услуги</w:t>
      </w:r>
      <w:r w:rsidRPr="00D003FF">
        <w:rPr>
          <w:sz w:val="24"/>
          <w:szCs w:val="24"/>
        </w:rPr>
        <w:t>, предназначенные для Заказчика.</w:t>
      </w:r>
    </w:p>
    <w:p w14:paraId="74A6BA5F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10.2. Заказчик обладает исключительными правами на результаты оказанных услуг по Договору. </w:t>
      </w:r>
    </w:p>
    <w:p w14:paraId="3B48D76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10.3. Договор не предусматривает передачу </w:t>
      </w:r>
      <w:r>
        <w:rPr>
          <w:sz w:val="24"/>
          <w:szCs w:val="24"/>
        </w:rPr>
        <w:t>Поставщику</w:t>
      </w:r>
      <w:r w:rsidRPr="00D003FF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</w:t>
      </w:r>
      <w:r w:rsidRPr="00D003FF">
        <w:rPr>
          <w:sz w:val="24"/>
          <w:szCs w:val="24"/>
        </w:rPr>
        <w:lastRenderedPageBreak/>
        <w:t xml:space="preserve">исполнения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и никто из его уполномоченных лиц либо от имени </w:t>
      </w:r>
      <w:r>
        <w:rPr>
          <w:sz w:val="24"/>
          <w:szCs w:val="24"/>
        </w:rPr>
        <w:t>Поставщика</w:t>
      </w:r>
      <w:r w:rsidRPr="00D003FF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747C8539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10.4.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5A0456AB" w14:textId="3D444003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>. Срок действия Договора</w:t>
      </w:r>
    </w:p>
    <w:p w14:paraId="6F507636" w14:textId="2BDADC7E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881C91">
        <w:rPr>
          <w:sz w:val="24"/>
          <w:szCs w:val="24"/>
        </w:rPr>
        <w:t>по</w:t>
      </w:r>
      <w:r w:rsidR="00CA5624">
        <w:rPr>
          <w:sz w:val="24"/>
          <w:szCs w:val="24"/>
        </w:rPr>
        <w:t xml:space="preserve"> </w:t>
      </w:r>
      <w:r w:rsidR="00EF7C78">
        <w:rPr>
          <w:sz w:val="24"/>
          <w:szCs w:val="24"/>
        </w:rPr>
        <w:t>31 декабря 20</w:t>
      </w:r>
      <w:r w:rsidR="00881C91">
        <w:rPr>
          <w:sz w:val="24"/>
          <w:szCs w:val="24"/>
        </w:rPr>
        <w:t>22</w:t>
      </w:r>
      <w:r w:rsidR="00EF7C78">
        <w:rPr>
          <w:sz w:val="24"/>
          <w:szCs w:val="24"/>
        </w:rPr>
        <w:t xml:space="preserve"> года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39E1A036" w14:textId="64722F86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>. Заключительные положения</w:t>
      </w:r>
    </w:p>
    <w:p w14:paraId="1FCC0ADD" w14:textId="292CC71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271EA5D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1ECE3A6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37D4BB9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165043B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20BAA06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35EC473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3F17AB6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1BF1F6F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421A6" w:rsidRPr="00AD54E2" w14:paraId="377DF57B" w14:textId="77777777" w:rsidTr="00C421A6">
        <w:tc>
          <w:tcPr>
            <w:tcW w:w="4962" w:type="dxa"/>
          </w:tcPr>
          <w:p w14:paraId="78EA1F82" w14:textId="1F44649F" w:rsid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1DD4EC19" w14:textId="77777777" w:rsidR="00C421A6" w:rsidRPr="00AD54E2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</w:p>
          <w:p w14:paraId="48C7A3D4" w14:textId="64F12E05" w:rsid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Некоммерческое акционерное общество </w:t>
            </w:r>
          </w:p>
          <w:p w14:paraId="137F51C2" w14:textId="63509675" w:rsidR="00C421A6" w:rsidRPr="00991F6A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«Международный центр зеленых технологий и инвестиционных проектов»</w:t>
            </w:r>
          </w:p>
          <w:p w14:paraId="2DE4E18B" w14:textId="7FA76297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Республика Казахстан, 010000,</w:t>
            </w:r>
          </w:p>
          <w:p w14:paraId="537E25B4" w14:textId="16A1969B" w:rsidR="00C421A6" w:rsidRDefault="00C421A6" w:rsidP="00991F6A">
            <w:pPr>
              <w:tabs>
                <w:tab w:val="left" w:pos="993"/>
                <w:tab w:val="left" w:pos="1276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г. Нур-Султан, район Есиль, проспект </w:t>
            </w:r>
            <w:r>
              <w:rPr>
                <w:sz w:val="24"/>
                <w:szCs w:val="24"/>
                <w:lang w:val="kk-KZ"/>
              </w:rPr>
              <w:t>Мәңгілік ел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, д.55</w:t>
            </w:r>
            <w:r w:rsidR="00881C91">
              <w:rPr>
                <w:rFonts w:eastAsiaTheme="minorEastAsia"/>
                <w:sz w:val="24"/>
                <w:szCs w:val="24"/>
                <w:lang w:eastAsia="zh-CN"/>
              </w:rPr>
              <w:t xml:space="preserve"> блок С 1.4</w:t>
            </w:r>
          </w:p>
          <w:p w14:paraId="40AD700E" w14:textId="29BC84C7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БИН: 180540038892</w:t>
            </w:r>
          </w:p>
          <w:p w14:paraId="58B0ABC4" w14:textId="14E7672E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KKMFKZ</w:t>
            </w:r>
            <w:r w:rsidRPr="00C421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</w:p>
          <w:p w14:paraId="0CBA6083" w14:textId="538F7236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r w:rsidRPr="00AD54E2">
              <w:rPr>
                <w:sz w:val="24"/>
                <w:szCs w:val="24"/>
              </w:rPr>
              <w:t>ИИК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: KZ87070KK1KS00250004</w:t>
            </w:r>
          </w:p>
          <w:p w14:paraId="6515410D" w14:textId="3BD1CD60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РГУ «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Комитет казначейства Министерства финансов РК»</w:t>
            </w:r>
          </w:p>
          <w:p w14:paraId="7B6D8A27" w14:textId="12BE0FAE" w:rsidR="00C421A6" w:rsidRPr="00AD54E2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+7 (7172) 79-77-95</w:t>
            </w:r>
          </w:p>
          <w:p w14:paraId="3459F2BB" w14:textId="77777777" w:rsidR="00C421A6" w:rsidRPr="00AD54E2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79C1AD72" w14:textId="5A221FD4" w:rsidR="00C421A6" w:rsidRPr="00C421A6" w:rsidRDefault="00881C91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И.о. </w:t>
            </w:r>
            <w:r w:rsidR="00C421A6">
              <w:rPr>
                <w:b/>
                <w:bCs/>
                <w:sz w:val="24"/>
                <w:szCs w:val="24"/>
              </w:rPr>
              <w:t>Председател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C421A6">
              <w:rPr>
                <w:b/>
                <w:bCs/>
                <w:sz w:val="24"/>
                <w:szCs w:val="24"/>
              </w:rPr>
              <w:t xml:space="preserve"> Правления</w:t>
            </w:r>
          </w:p>
          <w:p w14:paraId="70954BE6" w14:textId="77777777" w:rsidR="00C421A6" w:rsidRDefault="00C421A6" w:rsidP="00C421A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15B4CCAB" w14:textId="16B54A07" w:rsidR="00C421A6" w:rsidRPr="00C421A6" w:rsidRDefault="00C421A6" w:rsidP="00C421A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AD54E2">
              <w:rPr>
                <w:sz w:val="24"/>
                <w:szCs w:val="24"/>
              </w:rPr>
              <w:t xml:space="preserve">_______________ </w:t>
            </w:r>
            <w:r w:rsidR="00881C91" w:rsidRPr="00881C91">
              <w:rPr>
                <w:b/>
                <w:bCs/>
                <w:sz w:val="24"/>
                <w:szCs w:val="24"/>
              </w:rPr>
              <w:t xml:space="preserve">Игенова </w:t>
            </w:r>
            <w:proofErr w:type="gramStart"/>
            <w:r w:rsidR="00881C91" w:rsidRPr="00881C91">
              <w:rPr>
                <w:b/>
                <w:bCs/>
                <w:sz w:val="24"/>
                <w:szCs w:val="24"/>
              </w:rPr>
              <w:t>Ж.Р.</w:t>
            </w:r>
            <w:proofErr w:type="gramEnd"/>
          </w:p>
          <w:p w14:paraId="68240342" w14:textId="541C6FD2" w:rsidR="00C421A6" w:rsidRPr="00AD54E2" w:rsidRDefault="00C421A6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4677" w:type="dxa"/>
          </w:tcPr>
          <w:p w14:paraId="61FAB1DD" w14:textId="1FD21C50" w:rsidR="00C421A6" w:rsidRDefault="00C421A6" w:rsidP="00C421A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lastRenderedPageBreak/>
              <w:t>Поставщик:</w:t>
            </w:r>
          </w:p>
          <w:p w14:paraId="5A94F33D" w14:textId="77777777" w:rsidR="00C421A6" w:rsidRPr="00AD54E2" w:rsidRDefault="00C421A6" w:rsidP="00C421A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</w:p>
          <w:p w14:paraId="1D2A0FD0" w14:textId="0649A020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519090A4" w14:textId="3209B314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3927D564" w14:textId="48322FF9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8674AB5" w14:textId="3DA9E722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3A14D3FA" w14:textId="4C14E261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583D84CB" w14:textId="4B1C4C9E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17B42051" w14:textId="744891DF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1F111F09" w14:textId="6EE05C08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30378EDA" w14:textId="5E70030E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0A322354" w14:textId="40820EEE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588389E4" w14:textId="494DC9F7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849F647" w14:textId="5879CAB2" w:rsidR="00881C91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536204C0" w14:textId="77777777" w:rsidR="00881C91" w:rsidRPr="00AD54E2" w:rsidRDefault="00881C91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020DC447" w14:textId="02C41FE8" w:rsid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</w:p>
          <w:p w14:paraId="0D4168F3" w14:textId="77777777" w:rsidR="00C421A6" w:rsidRPr="00C421A6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</w:p>
          <w:p w14:paraId="147FB69B" w14:textId="43E59D73" w:rsidR="00C421A6" w:rsidRDefault="00C421A6" w:rsidP="00991F6A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991F6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</w:t>
            </w:r>
            <w:r w:rsidRPr="00991F6A">
              <w:rPr>
                <w:sz w:val="24"/>
                <w:szCs w:val="24"/>
              </w:rPr>
              <w:t xml:space="preserve">___________ </w:t>
            </w:r>
          </w:p>
          <w:p w14:paraId="489DED8B" w14:textId="7682D704" w:rsidR="00C421A6" w:rsidRPr="00991F6A" w:rsidRDefault="00C421A6" w:rsidP="00991F6A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991F6A">
              <w:rPr>
                <w:sz w:val="24"/>
                <w:szCs w:val="24"/>
              </w:rPr>
              <w:t xml:space="preserve"> М.П.</w:t>
            </w:r>
          </w:p>
        </w:tc>
      </w:tr>
    </w:tbl>
    <w:p w14:paraId="1B4A2D68" w14:textId="77777777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1EED79E4" w14:textId="77777777" w:rsidR="00526C18" w:rsidRDefault="00526C18" w:rsidP="008F3EA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</w:p>
    <w:p w14:paraId="732193EF" w14:textId="77777777" w:rsidR="0066134A" w:rsidRDefault="0066134A" w:rsidP="008F3E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2394A40" w14:textId="77777777" w:rsidR="00D4242A" w:rsidRDefault="00D4242A" w:rsidP="008F3EA7">
      <w:pPr>
        <w:tabs>
          <w:tab w:val="left" w:pos="993"/>
          <w:tab w:val="left" w:pos="1276"/>
        </w:tabs>
        <w:ind w:left="5529"/>
        <w:rPr>
          <w:bCs/>
          <w:iCs/>
          <w:sz w:val="24"/>
          <w:szCs w:val="24"/>
        </w:rPr>
        <w:sectPr w:rsidR="00D4242A" w:rsidSect="00C421A6">
          <w:pgSz w:w="11906" w:h="16838"/>
          <w:pgMar w:top="1134" w:right="1133" w:bottom="1134" w:left="1134" w:header="708" w:footer="708" w:gutter="0"/>
          <w:cols w:space="708"/>
          <w:docGrid w:linePitch="381"/>
        </w:sectPr>
      </w:pPr>
    </w:p>
    <w:p w14:paraId="5C938123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lastRenderedPageBreak/>
        <w:t>Приложение № 1 к Договору</w:t>
      </w:r>
    </w:p>
    <w:p w14:paraId="21CE13D4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о закупках услуг</w:t>
      </w:r>
    </w:p>
    <w:p w14:paraId="79DB6602" w14:textId="1157960F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 xml:space="preserve">от «___» </w:t>
      </w:r>
      <w:r w:rsidR="00881C91">
        <w:rPr>
          <w:bCs/>
          <w:iCs/>
          <w:sz w:val="24"/>
          <w:szCs w:val="24"/>
        </w:rPr>
        <w:t>___________</w:t>
      </w:r>
      <w:r w:rsidRPr="0066134A">
        <w:rPr>
          <w:bCs/>
          <w:iCs/>
          <w:sz w:val="24"/>
          <w:szCs w:val="24"/>
        </w:rPr>
        <w:t xml:space="preserve"> 20</w:t>
      </w:r>
      <w:r w:rsidR="00A46E84">
        <w:rPr>
          <w:bCs/>
          <w:iCs/>
          <w:sz w:val="24"/>
          <w:szCs w:val="24"/>
        </w:rPr>
        <w:t>2</w:t>
      </w:r>
      <w:r w:rsidR="00881C91">
        <w:rPr>
          <w:bCs/>
          <w:iCs/>
          <w:sz w:val="24"/>
          <w:szCs w:val="24"/>
        </w:rPr>
        <w:t>2</w:t>
      </w:r>
      <w:r w:rsidRPr="0066134A">
        <w:rPr>
          <w:bCs/>
          <w:iCs/>
          <w:sz w:val="24"/>
          <w:szCs w:val="24"/>
        </w:rPr>
        <w:t>г.</w:t>
      </w:r>
    </w:p>
    <w:p w14:paraId="70E54B31" w14:textId="77777777" w:rsidR="00DF3E95" w:rsidRPr="0066134A" w:rsidRDefault="00DF3E95" w:rsidP="00C421A6">
      <w:pPr>
        <w:tabs>
          <w:tab w:val="left" w:pos="993"/>
          <w:tab w:val="left" w:pos="1276"/>
        </w:tabs>
        <w:ind w:left="1148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№ ______________________</w:t>
      </w:r>
    </w:p>
    <w:p w14:paraId="2782895E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1984"/>
        <w:gridCol w:w="1134"/>
        <w:gridCol w:w="1134"/>
        <w:gridCol w:w="2126"/>
        <w:gridCol w:w="2127"/>
      </w:tblGrid>
      <w:tr w:rsidR="000E27E3" w:rsidRPr="000A6D9D" w14:paraId="003C0387" w14:textId="77777777" w:rsidTr="00A46E84">
        <w:trPr>
          <w:trHeight w:val="1035"/>
        </w:trPr>
        <w:tc>
          <w:tcPr>
            <w:tcW w:w="426" w:type="dxa"/>
            <w:shd w:val="clear" w:color="auto" w:fill="auto"/>
            <w:vAlign w:val="center"/>
          </w:tcPr>
          <w:p w14:paraId="32463090" w14:textId="77777777" w:rsidR="000E27E3" w:rsidRPr="000A6D9D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C1C354" w14:textId="77777777" w:rsidR="000E27E3" w:rsidRPr="000A6D9D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F3E24" w14:textId="77777777" w:rsidR="000E27E3" w:rsidRPr="000A6D9D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4" w:type="dxa"/>
            <w:vAlign w:val="center"/>
          </w:tcPr>
          <w:p w14:paraId="2BAFAFA4" w14:textId="77777777" w:rsidR="000E27E3" w:rsidRPr="000A6D9D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1E1C6" w14:textId="77777777" w:rsidR="000E27E3" w:rsidRPr="000A6D9D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F2F71" w14:textId="77777777" w:rsidR="000E27E3" w:rsidRPr="000A6D9D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99D23" w14:textId="1AC8D0ED" w:rsidR="000E27E3" w:rsidRPr="000A6D9D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0E0754" w14:textId="42A385F9" w:rsidR="000E27E3" w:rsidRPr="000A6D9D" w:rsidRDefault="000E27E3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E27E3" w:rsidRPr="000A6D9D" w14:paraId="6374EEF2" w14:textId="77777777" w:rsidTr="00A93B0A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14:paraId="195FF5A3" w14:textId="77777777" w:rsidR="000E27E3" w:rsidRPr="00AD3A8A" w:rsidRDefault="000E27E3" w:rsidP="00A93B0A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5F2C69" w14:textId="04475D6A" w:rsidR="000E27E3" w:rsidRPr="00C421A6" w:rsidRDefault="00EB27D3" w:rsidP="00A93B0A">
            <w:pPr>
              <w:tabs>
                <w:tab w:val="left" w:pos="1276"/>
              </w:tabs>
              <w:snapToGrid w:val="0"/>
              <w:jc w:val="center"/>
            </w:pPr>
            <w:r>
              <w:t>Услуги по сопровождению и технической поддержке информационной системы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770DA" w14:textId="5AA80515" w:rsidR="000E27E3" w:rsidRPr="00C421A6" w:rsidRDefault="00EB27D3" w:rsidP="00A93B0A">
            <w:pPr>
              <w:tabs>
                <w:tab w:val="left" w:pos="1276"/>
              </w:tabs>
              <w:snapToGrid w:val="0"/>
              <w:jc w:val="center"/>
            </w:pPr>
            <w:r>
              <w:t>Услуги по сопровождению и технической поддержке информационной системы</w:t>
            </w:r>
          </w:p>
        </w:tc>
        <w:tc>
          <w:tcPr>
            <w:tcW w:w="1984" w:type="dxa"/>
            <w:vAlign w:val="center"/>
          </w:tcPr>
          <w:p w14:paraId="3CB5BB1F" w14:textId="79C0AF86" w:rsidR="000E27E3" w:rsidRPr="00C421A6" w:rsidRDefault="00881C91" w:rsidP="00A93B0A">
            <w:pPr>
              <w:tabs>
                <w:tab w:val="left" w:pos="1276"/>
              </w:tabs>
              <w:jc w:val="center"/>
            </w:pPr>
            <w:r>
              <w:t>По</w:t>
            </w:r>
            <w:r w:rsidR="00C421A6">
              <w:t xml:space="preserve"> 31 декабря 202</w:t>
            </w:r>
            <w:r>
              <w:t>2</w:t>
            </w:r>
            <w:r w:rsidR="00C421A6">
              <w:t xml:space="preserve"> года</w:t>
            </w:r>
          </w:p>
          <w:p w14:paraId="68F10369" w14:textId="457F38E0" w:rsidR="000E27E3" w:rsidRPr="00AD3A8A" w:rsidRDefault="000E27E3" w:rsidP="00A93B0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602DC7" w14:textId="5CA3B320" w:rsidR="000E27E3" w:rsidRDefault="00C421A6" w:rsidP="00A93B0A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  <w:r>
              <w:t>услуга</w:t>
            </w:r>
          </w:p>
          <w:p w14:paraId="011CC997" w14:textId="64FEC1DD" w:rsidR="000E27E3" w:rsidRPr="00AD3A8A" w:rsidRDefault="000E27E3" w:rsidP="00A93B0A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1B7F0" w14:textId="0F1BCD10" w:rsidR="000E27E3" w:rsidRDefault="00C421A6" w:rsidP="00A93B0A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86E67DE" w14:textId="283BD907" w:rsidR="000E27E3" w:rsidRPr="00AD3A8A" w:rsidRDefault="000E27E3" w:rsidP="00A93B0A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33BBDE" w14:textId="3252BE97" w:rsidR="000E27E3" w:rsidRPr="00AD3A8A" w:rsidRDefault="00881C91" w:rsidP="00A93B0A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BAF5D0" w14:textId="16637E0A" w:rsidR="000E27E3" w:rsidRPr="00AD3A8A" w:rsidRDefault="00881C91" w:rsidP="00A93B0A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797"/>
        <w:gridCol w:w="6804"/>
      </w:tblGrid>
      <w:tr w:rsidR="00DF3E95" w:rsidRPr="000A6D9D" w14:paraId="79958BD6" w14:textId="77777777" w:rsidTr="00A46E84">
        <w:tc>
          <w:tcPr>
            <w:tcW w:w="7797" w:type="dxa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6A7BB21A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  <w:r w:rsidR="00881C91">
              <w:rPr>
                <w:b/>
                <w:bCs/>
                <w:sz w:val="24"/>
                <w:szCs w:val="24"/>
              </w:rPr>
              <w:t xml:space="preserve">Игенова </w:t>
            </w:r>
            <w:proofErr w:type="gramStart"/>
            <w:r w:rsidR="00881C91">
              <w:rPr>
                <w:b/>
                <w:bCs/>
                <w:sz w:val="24"/>
                <w:szCs w:val="24"/>
              </w:rPr>
              <w:t>Ж.Р.</w:t>
            </w:r>
            <w:proofErr w:type="gramEnd"/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266C7114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D4242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7B288B7C" w14:textId="77777777" w:rsidR="00DE1B2C" w:rsidRDefault="00DE1B2C" w:rsidP="00CC031D">
      <w:pPr>
        <w:tabs>
          <w:tab w:val="left" w:pos="993"/>
          <w:tab w:val="left" w:pos="1276"/>
        </w:tabs>
      </w:pPr>
    </w:p>
    <w:sectPr w:rsidR="00DE1B2C" w:rsidSect="005E17DB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DB45" w14:textId="77777777" w:rsidR="00F242E6" w:rsidRDefault="00F242E6" w:rsidP="008F5299">
      <w:r>
        <w:separator/>
      </w:r>
    </w:p>
  </w:endnote>
  <w:endnote w:type="continuationSeparator" w:id="0">
    <w:p w14:paraId="5225D2BF" w14:textId="77777777" w:rsidR="00F242E6" w:rsidRDefault="00F242E6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B7B8" w14:textId="77777777" w:rsidR="00F242E6" w:rsidRDefault="00F242E6" w:rsidP="008F5299">
      <w:r>
        <w:separator/>
      </w:r>
    </w:p>
  </w:footnote>
  <w:footnote w:type="continuationSeparator" w:id="0">
    <w:p w14:paraId="4AD66109" w14:textId="77777777" w:rsidR="00F242E6" w:rsidRDefault="00F242E6" w:rsidP="008F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475"/>
    <w:multiLevelType w:val="hybridMultilevel"/>
    <w:tmpl w:val="AFD62AA6"/>
    <w:lvl w:ilvl="0" w:tplc="93CC9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9971BE"/>
    <w:multiLevelType w:val="multilevel"/>
    <w:tmpl w:val="89A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467658AD"/>
    <w:multiLevelType w:val="multilevel"/>
    <w:tmpl w:val="4CCCB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7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23E2"/>
    <w:rsid w:val="000367EF"/>
    <w:rsid w:val="00063182"/>
    <w:rsid w:val="00083E56"/>
    <w:rsid w:val="00085B67"/>
    <w:rsid w:val="00097CC2"/>
    <w:rsid w:val="000B32C8"/>
    <w:rsid w:val="000B6B41"/>
    <w:rsid w:val="000B6E1C"/>
    <w:rsid w:val="000D5B5C"/>
    <w:rsid w:val="000E27E3"/>
    <w:rsid w:val="000E6778"/>
    <w:rsid w:val="00107ABF"/>
    <w:rsid w:val="0014456A"/>
    <w:rsid w:val="00157814"/>
    <w:rsid w:val="00176EFD"/>
    <w:rsid w:val="00195D4D"/>
    <w:rsid w:val="001D739F"/>
    <w:rsid w:val="001E1589"/>
    <w:rsid w:val="00232CA7"/>
    <w:rsid w:val="00271E93"/>
    <w:rsid w:val="003244BF"/>
    <w:rsid w:val="00343653"/>
    <w:rsid w:val="00362398"/>
    <w:rsid w:val="00381C02"/>
    <w:rsid w:val="003C0FA4"/>
    <w:rsid w:val="00476531"/>
    <w:rsid w:val="004E5DCC"/>
    <w:rsid w:val="00526C18"/>
    <w:rsid w:val="005670F5"/>
    <w:rsid w:val="00575606"/>
    <w:rsid w:val="005E17DB"/>
    <w:rsid w:val="006113C3"/>
    <w:rsid w:val="00624E59"/>
    <w:rsid w:val="00643530"/>
    <w:rsid w:val="0066134A"/>
    <w:rsid w:val="00683695"/>
    <w:rsid w:val="00693693"/>
    <w:rsid w:val="00694103"/>
    <w:rsid w:val="006D6A84"/>
    <w:rsid w:val="006F1288"/>
    <w:rsid w:val="00721BB0"/>
    <w:rsid w:val="00743E82"/>
    <w:rsid w:val="00761329"/>
    <w:rsid w:val="00783F01"/>
    <w:rsid w:val="007C5C3B"/>
    <w:rsid w:val="007D6F6C"/>
    <w:rsid w:val="00862566"/>
    <w:rsid w:val="0087526D"/>
    <w:rsid w:val="00881C91"/>
    <w:rsid w:val="008B18A3"/>
    <w:rsid w:val="008F3EA7"/>
    <w:rsid w:val="008F5299"/>
    <w:rsid w:val="00911BAD"/>
    <w:rsid w:val="00921BFA"/>
    <w:rsid w:val="009324CA"/>
    <w:rsid w:val="00943403"/>
    <w:rsid w:val="00973ED1"/>
    <w:rsid w:val="00991F6A"/>
    <w:rsid w:val="009B3E2C"/>
    <w:rsid w:val="009C5C6F"/>
    <w:rsid w:val="009E0B86"/>
    <w:rsid w:val="00A163B4"/>
    <w:rsid w:val="00A30F07"/>
    <w:rsid w:val="00A46E84"/>
    <w:rsid w:val="00A92218"/>
    <w:rsid w:val="00A93B0A"/>
    <w:rsid w:val="00AD0A68"/>
    <w:rsid w:val="00AD3A8A"/>
    <w:rsid w:val="00B22479"/>
    <w:rsid w:val="00B961A3"/>
    <w:rsid w:val="00BB5916"/>
    <w:rsid w:val="00BC3097"/>
    <w:rsid w:val="00BE6C37"/>
    <w:rsid w:val="00BF1C20"/>
    <w:rsid w:val="00BF52DE"/>
    <w:rsid w:val="00C421A6"/>
    <w:rsid w:val="00C462C3"/>
    <w:rsid w:val="00C5571A"/>
    <w:rsid w:val="00C85647"/>
    <w:rsid w:val="00CA1695"/>
    <w:rsid w:val="00CA5624"/>
    <w:rsid w:val="00CA5885"/>
    <w:rsid w:val="00CC031D"/>
    <w:rsid w:val="00CC0B2B"/>
    <w:rsid w:val="00CD5D86"/>
    <w:rsid w:val="00D10D14"/>
    <w:rsid w:val="00D16428"/>
    <w:rsid w:val="00D24DEF"/>
    <w:rsid w:val="00D26801"/>
    <w:rsid w:val="00D4242A"/>
    <w:rsid w:val="00D47C23"/>
    <w:rsid w:val="00D5151F"/>
    <w:rsid w:val="00D934F0"/>
    <w:rsid w:val="00DC531D"/>
    <w:rsid w:val="00DE1B2C"/>
    <w:rsid w:val="00DF3E95"/>
    <w:rsid w:val="00E33518"/>
    <w:rsid w:val="00EA0B0B"/>
    <w:rsid w:val="00EB27D3"/>
    <w:rsid w:val="00EE5CDF"/>
    <w:rsid w:val="00EF7C78"/>
    <w:rsid w:val="00F03C13"/>
    <w:rsid w:val="00F1243D"/>
    <w:rsid w:val="00F15FC7"/>
    <w:rsid w:val="00F242E6"/>
    <w:rsid w:val="00F66530"/>
    <w:rsid w:val="00F67E97"/>
    <w:rsid w:val="00F766CA"/>
    <w:rsid w:val="00F8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basedOn w:val="a"/>
    <w:uiPriority w:val="34"/>
    <w:qFormat/>
    <w:rsid w:val="00343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59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9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991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A46E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Arsen Kozhanov</cp:lastModifiedBy>
  <cp:revision>9</cp:revision>
  <dcterms:created xsi:type="dcterms:W3CDTF">2022-01-11T09:36:00Z</dcterms:created>
  <dcterms:modified xsi:type="dcterms:W3CDTF">2022-01-14T08:20:00Z</dcterms:modified>
</cp:coreProperties>
</file>