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8878" w14:textId="77777777" w:rsidR="00EB505F" w:rsidRPr="00472775" w:rsidRDefault="00EB505F" w:rsidP="00EB5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 w:cs="Times New Roman"/>
          <w:b/>
          <w:szCs w:val="28"/>
        </w:rPr>
      </w:pPr>
    </w:p>
    <w:p w14:paraId="5EC61B90" w14:textId="77777777" w:rsidR="00EB505F" w:rsidRPr="00582828" w:rsidRDefault="00EB505F" w:rsidP="00EB5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 w:cs="Times New Roman"/>
          <w:b/>
          <w:szCs w:val="28"/>
        </w:rPr>
      </w:pPr>
      <w:r w:rsidRPr="00582828">
        <w:rPr>
          <w:rFonts w:eastAsia="Times New Roman" w:cs="Times New Roman"/>
          <w:b/>
          <w:szCs w:val="28"/>
        </w:rPr>
        <w:t>Техническое задание</w:t>
      </w:r>
    </w:p>
    <w:p w14:paraId="711C5773" w14:textId="77777777" w:rsidR="00EB505F" w:rsidRPr="00582828" w:rsidRDefault="00EB505F" w:rsidP="00EB5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 w:cs="Times New Roman"/>
          <w:b/>
          <w:szCs w:val="28"/>
        </w:rPr>
      </w:pPr>
      <w:r w:rsidRPr="00582828">
        <w:rPr>
          <w:rFonts w:eastAsia="Times New Roman" w:cs="Times New Roman"/>
          <w:b/>
          <w:szCs w:val="28"/>
        </w:rPr>
        <w:t xml:space="preserve">на проведение оценки рынка и анализа трендов в сфере зеленых технологий в рамках Концепции Green Tech </w:t>
      </w:r>
      <w:proofErr w:type="spellStart"/>
      <w:r w:rsidRPr="00582828">
        <w:rPr>
          <w:rFonts w:eastAsia="Times New Roman" w:cs="Times New Roman"/>
          <w:b/>
          <w:szCs w:val="28"/>
        </w:rPr>
        <w:t>Hub</w:t>
      </w:r>
      <w:proofErr w:type="spellEnd"/>
    </w:p>
    <w:p w14:paraId="6753C572" w14:textId="77777777" w:rsidR="00EB505F" w:rsidRPr="00582828" w:rsidRDefault="00EB505F" w:rsidP="00EB505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B505F" w:rsidRPr="00582828" w14:paraId="5C4ABC67" w14:textId="77777777" w:rsidTr="00EF1D86">
        <w:tc>
          <w:tcPr>
            <w:tcW w:w="10173" w:type="dxa"/>
            <w:shd w:val="clear" w:color="auto" w:fill="E0E0E0"/>
          </w:tcPr>
          <w:p w14:paraId="13CA8B32" w14:textId="77777777" w:rsidR="00EB505F" w:rsidRPr="00582828" w:rsidRDefault="00EB505F" w:rsidP="00EF1D86">
            <w:pPr>
              <w:rPr>
                <w:rFonts w:eastAsia="Times New Roman" w:cs="Times New Roman"/>
                <w:b/>
                <w:szCs w:val="28"/>
              </w:rPr>
            </w:pPr>
            <w:r w:rsidRPr="00582828">
              <w:rPr>
                <w:rFonts w:eastAsia="Times New Roman" w:cs="Times New Roman"/>
                <w:b/>
                <w:szCs w:val="28"/>
              </w:rPr>
              <w:t>I. Информация о позиции</w:t>
            </w:r>
          </w:p>
        </w:tc>
      </w:tr>
      <w:tr w:rsidR="00EB505F" w:rsidRPr="00582828" w14:paraId="173053CA" w14:textId="77777777" w:rsidTr="00EF1D86">
        <w:trPr>
          <w:cantSplit/>
          <w:trHeight w:val="3864"/>
        </w:trPr>
        <w:tc>
          <w:tcPr>
            <w:tcW w:w="10173" w:type="dxa"/>
          </w:tcPr>
          <w:p w14:paraId="3A2AA0F2" w14:textId="77777777" w:rsidR="00EB505F" w:rsidRPr="00582828" w:rsidRDefault="00EB505F" w:rsidP="00EF1D86">
            <w:pPr>
              <w:pStyle w:val="3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i/>
                <w:sz w:val="28"/>
                <w:szCs w:val="28"/>
              </w:rPr>
              <w:t>Название позиции:</w:t>
            </w:r>
            <w:r w:rsidRPr="0058282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консультант по оценке рынка и анализу трендов в сфере зеленых технологий</w:t>
            </w:r>
          </w:p>
          <w:p w14:paraId="106D427A" w14:textId="77777777" w:rsidR="00EB505F" w:rsidRPr="00582828" w:rsidRDefault="00EB505F" w:rsidP="00EF1D86">
            <w:pPr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b/>
                <w:i/>
                <w:szCs w:val="28"/>
              </w:rPr>
              <w:t>Название проекта:</w:t>
            </w:r>
            <w:r w:rsidRPr="00582828">
              <w:rPr>
                <w:rFonts w:eastAsia="Times New Roman" w:cs="Times New Roman"/>
                <w:szCs w:val="28"/>
              </w:rPr>
              <w:t xml:space="preserve"> </w:t>
            </w:r>
            <w:r w:rsidRPr="00582828">
              <w:rPr>
                <w:rFonts w:cs="Times New Roman"/>
                <w:szCs w:val="28"/>
              </w:rPr>
              <w:t xml:space="preserve">Концепция создания зеленого технологического центра Green Tech </w:t>
            </w:r>
            <w:proofErr w:type="spellStart"/>
            <w:r w:rsidRPr="00582828">
              <w:rPr>
                <w:rFonts w:cs="Times New Roman"/>
                <w:szCs w:val="28"/>
              </w:rPr>
              <w:t>Hub</w:t>
            </w:r>
            <w:proofErr w:type="spellEnd"/>
            <w:r w:rsidRPr="00582828">
              <w:rPr>
                <w:rFonts w:cs="Times New Roman"/>
                <w:szCs w:val="28"/>
              </w:rPr>
              <w:t>.</w:t>
            </w:r>
          </w:p>
          <w:p w14:paraId="4A9BFEA3" w14:textId="77777777" w:rsidR="00EB505F" w:rsidRPr="00582828" w:rsidRDefault="00EB505F" w:rsidP="00EF1D86">
            <w:pPr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b/>
                <w:i/>
                <w:szCs w:val="28"/>
              </w:rPr>
              <w:t>Тип контракта</w:t>
            </w:r>
            <w:r w:rsidRPr="00582828">
              <w:rPr>
                <w:rFonts w:eastAsia="Times New Roman" w:cs="Times New Roman"/>
                <w:szCs w:val="28"/>
              </w:rPr>
              <w:t>: Договор о возмездном оказании услуг (ДВУ)</w:t>
            </w:r>
          </w:p>
          <w:p w14:paraId="5D849585" w14:textId="77777777" w:rsidR="00EB505F" w:rsidRPr="00582828" w:rsidRDefault="00EB505F" w:rsidP="00EF1D86">
            <w:pPr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b/>
                <w:i/>
                <w:szCs w:val="28"/>
              </w:rPr>
              <w:t>Срок:</w:t>
            </w:r>
            <w:r w:rsidRPr="00582828">
              <w:rPr>
                <w:rFonts w:eastAsia="Times New Roman" w:cs="Times New Roman"/>
                <w:szCs w:val="28"/>
              </w:rPr>
              <w:t xml:space="preserve"> </w:t>
            </w:r>
            <w:r w:rsidRPr="00582828">
              <w:rPr>
                <w:rFonts w:eastAsia="Times New Roman" w:cs="Times New Roman"/>
                <w:b/>
                <w:bCs/>
                <w:szCs w:val="28"/>
              </w:rPr>
              <w:t>с даты подписания Договора по 10 декабря 2024 года</w:t>
            </w:r>
          </w:p>
          <w:p w14:paraId="4268F525" w14:textId="77777777" w:rsidR="00EB505F" w:rsidRPr="00582828" w:rsidRDefault="00EB505F" w:rsidP="00EF1D86">
            <w:pPr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b/>
                <w:i/>
                <w:szCs w:val="28"/>
              </w:rPr>
              <w:t>Занятость:</w:t>
            </w:r>
            <w:r w:rsidRPr="00582828">
              <w:rPr>
                <w:rFonts w:eastAsia="Times New Roman" w:cs="Times New Roman"/>
                <w:szCs w:val="28"/>
              </w:rPr>
              <w:t xml:space="preserve"> частичная занятость, с возможными поездками  </w:t>
            </w:r>
          </w:p>
          <w:p w14:paraId="4F916083" w14:textId="77777777" w:rsidR="00EB505F" w:rsidRPr="00582828" w:rsidRDefault="00EB505F" w:rsidP="00EF1D86">
            <w:pPr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b/>
                <w:i/>
                <w:szCs w:val="28"/>
              </w:rPr>
              <w:t>Место работы:</w:t>
            </w:r>
            <w:r w:rsidRPr="00582828">
              <w:rPr>
                <w:rFonts w:eastAsia="Times New Roman" w:cs="Times New Roman"/>
                <w:szCs w:val="28"/>
              </w:rPr>
              <w:t xml:space="preserve"> Астана, Казахстан</w:t>
            </w:r>
          </w:p>
        </w:tc>
      </w:tr>
    </w:tbl>
    <w:p w14:paraId="340B29D3" w14:textId="77777777" w:rsidR="00EB505F" w:rsidRPr="00582828" w:rsidRDefault="00EB505F" w:rsidP="00EB505F">
      <w:pPr>
        <w:spacing w:after="120"/>
        <w:jc w:val="both"/>
        <w:rPr>
          <w:rFonts w:eastAsia="Times New Roman" w:cs="Times New Roman"/>
          <w:b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B505F" w:rsidRPr="00582828" w14:paraId="44CF0011" w14:textId="77777777" w:rsidTr="00EF1D86">
        <w:tc>
          <w:tcPr>
            <w:tcW w:w="10173" w:type="dxa"/>
            <w:shd w:val="clear" w:color="auto" w:fill="D9D9D9"/>
          </w:tcPr>
          <w:p w14:paraId="2B505B65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b/>
                <w:szCs w:val="28"/>
              </w:rPr>
            </w:pPr>
            <w:r w:rsidRPr="00582828">
              <w:rPr>
                <w:rFonts w:eastAsia="Times New Roman" w:cs="Times New Roman"/>
                <w:b/>
                <w:szCs w:val="28"/>
              </w:rPr>
              <w:t>II. Основание</w:t>
            </w:r>
          </w:p>
        </w:tc>
      </w:tr>
      <w:tr w:rsidR="00EB505F" w:rsidRPr="00582828" w14:paraId="50BE6DF6" w14:textId="77777777" w:rsidTr="00EF1D86">
        <w:tc>
          <w:tcPr>
            <w:tcW w:w="10173" w:type="dxa"/>
          </w:tcPr>
          <w:p w14:paraId="544265DD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i/>
                <w:szCs w:val="28"/>
              </w:rPr>
              <w:t>Цель проекта</w:t>
            </w:r>
            <w:r w:rsidRPr="00582828">
              <w:rPr>
                <w:rFonts w:eastAsia="Times New Roman" w:cs="Times New Roman"/>
                <w:szCs w:val="28"/>
              </w:rPr>
              <w:t xml:space="preserve">: ускорение инноваций в области экологически чистых технологий и предпринимательства со стороны малых и средних предприятий и стартапов, а также укрепление экосистемы инноваций и предпринимательства в области чистых технологий в Казахстане. </w:t>
            </w:r>
          </w:p>
          <w:p w14:paraId="124AB963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i/>
                <w:szCs w:val="28"/>
              </w:rPr>
            </w:pPr>
            <w:r w:rsidRPr="00582828">
              <w:rPr>
                <w:rFonts w:eastAsia="Times New Roman" w:cs="Times New Roman"/>
                <w:i/>
                <w:szCs w:val="28"/>
              </w:rPr>
              <w:t>Проект финансируется Глобальным Экологическим Фондом (далее - ГЭФ).</w:t>
            </w:r>
          </w:p>
          <w:p w14:paraId="57B6C63B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i/>
                <w:szCs w:val="28"/>
              </w:rPr>
              <w:t>Период реализации проекта</w:t>
            </w:r>
            <w:r w:rsidRPr="00582828">
              <w:rPr>
                <w:rFonts w:eastAsia="Times New Roman" w:cs="Times New Roman"/>
                <w:szCs w:val="28"/>
              </w:rPr>
              <w:t xml:space="preserve">: 3 года.  </w:t>
            </w:r>
          </w:p>
          <w:p w14:paraId="19DFB946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i/>
                <w:szCs w:val="28"/>
              </w:rPr>
              <w:t>Бенефициары проекта:</w:t>
            </w:r>
            <w:r w:rsidRPr="00582828">
              <w:rPr>
                <w:rFonts w:eastAsia="Times New Roman" w:cs="Times New Roman"/>
                <w:szCs w:val="28"/>
              </w:rPr>
              <w:t xml:space="preserve"> Министерство экологии и природных ресурсов РК (далее – МЭПР), частный сектор и НПО, научно-исследовательские институты.     </w:t>
            </w:r>
          </w:p>
          <w:p w14:paraId="36D3853A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2828">
              <w:rPr>
                <w:rFonts w:eastAsia="Times New Roman" w:cs="Times New Roman"/>
                <w:color w:val="000000"/>
                <w:szCs w:val="28"/>
              </w:rPr>
              <w:t>Проект ЮНИДО-ГЭФ направлен на поддержку этапов формирования предприятий чистых технологий.  Широкое распространение и использование чистых технологий имеет значительный потенциал для решения серьезных проблем, связанных с изменением климата и окружающей средой, с которыми сегодня сталкивается глобальное сообщество и его правительства, и Республика Казахстан не является исключением.</w:t>
            </w:r>
          </w:p>
          <w:p w14:paraId="6BAAD0E4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/>
              <w:jc w:val="both"/>
              <w:rPr>
                <w:color w:val="000000"/>
                <w:szCs w:val="28"/>
              </w:rPr>
            </w:pPr>
            <w:r w:rsidRPr="00582828">
              <w:rPr>
                <w:rFonts w:eastAsia="Times New Roman" w:cs="Times New Roman"/>
                <w:szCs w:val="28"/>
              </w:rPr>
              <w:t xml:space="preserve">МСП и стартапы являются ключевыми двигателями роста сектора чистых технологий в странах с формирующейся рыночной экономикой и развивающихся странах. Их понимание местных потребностей и наиболее острых экологических проблем дает местным МСП и стартапам уникальную возможность поставлять экологически чистые продукты и услуги, которые удовлетворяют реальный спрос. Активное продвижение и внедрение инноваций в области чистых технологий будет </w:t>
            </w:r>
            <w:r w:rsidRPr="00582828">
              <w:rPr>
                <w:rFonts w:eastAsia="Times New Roman" w:cs="Times New Roman"/>
                <w:szCs w:val="28"/>
              </w:rPr>
              <w:lastRenderedPageBreak/>
              <w:t xml:space="preserve">способствовать дальнейшему укреплению усилий Казахстана по обеспечению устойчивого развития с низким уровнем выбросов углерода. </w:t>
            </w:r>
          </w:p>
          <w:p w14:paraId="131CBE55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82828">
              <w:rPr>
                <w:rFonts w:eastAsia="Times New Roman" w:cs="Times New Roman"/>
                <w:color w:val="000000"/>
                <w:szCs w:val="28"/>
              </w:rPr>
              <w:t xml:space="preserve">По итогам проекта Казахстан должен создать экосистему поддержки и реализации проектов в области чистых технологий в целях более устойчивого развития промышленного и других секторов экономики и создавать условия для постоянного притока внутренних инновационных идей и решений для зеленого развития. Так экосистема должна существовать и развиваться, самостоятельно используя местные бюджетные и бизнес-ресурсы и в целом поддерживать на постоянной основе конечную цель проекта GCIP Kazakhstan с тем, чтобы результаты проекта имели практическое продолжение. В этих целях разрабатывается бизнес-план создания Green Tech </w:t>
            </w:r>
            <w:proofErr w:type="spellStart"/>
            <w:r w:rsidRPr="00582828">
              <w:rPr>
                <w:rFonts w:eastAsia="Times New Roman" w:cs="Times New Roman"/>
                <w:color w:val="000000"/>
                <w:szCs w:val="28"/>
              </w:rPr>
              <w:t>Hub</w:t>
            </w:r>
            <w:proofErr w:type="spellEnd"/>
            <w:r w:rsidRPr="00582828">
              <w:rPr>
                <w:rFonts w:eastAsia="Times New Roman" w:cs="Times New Roman"/>
                <w:color w:val="000000"/>
                <w:szCs w:val="28"/>
              </w:rPr>
              <w:t xml:space="preserve"> (далее - GTH)</w:t>
            </w:r>
          </w:p>
        </w:tc>
      </w:tr>
    </w:tbl>
    <w:p w14:paraId="348D6137" w14:textId="77777777" w:rsidR="00EB505F" w:rsidRPr="00582828" w:rsidRDefault="00EB505F" w:rsidP="00EB505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B505F" w:rsidRPr="00582828" w14:paraId="15FA8CAC" w14:textId="77777777" w:rsidTr="00EF1D86">
        <w:tc>
          <w:tcPr>
            <w:tcW w:w="10173" w:type="dxa"/>
            <w:shd w:val="clear" w:color="auto" w:fill="E0E0E0"/>
          </w:tcPr>
          <w:p w14:paraId="2ED75592" w14:textId="77777777" w:rsidR="00EB505F" w:rsidRPr="00582828" w:rsidRDefault="00EB505F" w:rsidP="00EF1D86">
            <w:pPr>
              <w:pStyle w:val="1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Pr="0058282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Функции и объем услуг</w:t>
            </w:r>
          </w:p>
        </w:tc>
      </w:tr>
      <w:tr w:rsidR="00EB505F" w:rsidRPr="00582828" w14:paraId="57B6B8F6" w14:textId="77777777" w:rsidTr="00EF1D86">
        <w:trPr>
          <w:trHeight w:val="899"/>
        </w:trPr>
        <w:tc>
          <w:tcPr>
            <w:tcW w:w="10173" w:type="dxa"/>
          </w:tcPr>
          <w:p w14:paraId="47F352AA" w14:textId="77777777" w:rsidR="00EB505F" w:rsidRPr="00582828" w:rsidRDefault="00EB505F" w:rsidP="00EF1D86">
            <w:pPr>
              <w:spacing w:before="240"/>
              <w:ind w:firstLine="700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 xml:space="preserve">Консультант самостоятельно готовит Отчет по оценке рынка и анализу трендов, текущего состояния рынка зеленых технологий в Республике Казахстан, а также анализирует ключевые области фокуса в сфере зеленой экономики. Также необходимо провести анализ рынка стран Центральной Азии, и анализ мировых трендов в сфере устойчивого развития. Результаты и итоги исследования должны быть отражены в тексте концепции. </w:t>
            </w:r>
          </w:p>
          <w:p w14:paraId="5CB715BA" w14:textId="77777777" w:rsidR="00EB505F" w:rsidRPr="00582828" w:rsidRDefault="00EB505F" w:rsidP="00EF1D86">
            <w:pPr>
              <w:ind w:firstLine="697"/>
              <w:jc w:val="both"/>
              <w:rPr>
                <w:rFonts w:cs="Times New Roman"/>
                <w:b/>
                <w:bCs/>
                <w:szCs w:val="28"/>
              </w:rPr>
            </w:pPr>
            <w:r w:rsidRPr="00582828">
              <w:rPr>
                <w:rFonts w:cs="Times New Roman"/>
                <w:b/>
                <w:bCs/>
                <w:szCs w:val="28"/>
              </w:rPr>
              <w:t>Консультант должен подготовить следующие виды услуг:</w:t>
            </w:r>
          </w:p>
          <w:p w14:paraId="76C975D4" w14:textId="77777777" w:rsidR="00EB505F" w:rsidRPr="00582828" w:rsidRDefault="00EB505F" w:rsidP="00EF1D86">
            <w:pPr>
              <w:ind w:firstLine="69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1. Провести анализ текущего состояния рынка зеленых технологий и проектов в Казахстане;</w:t>
            </w:r>
          </w:p>
          <w:p w14:paraId="29BA507C" w14:textId="77777777" w:rsidR="00EB505F" w:rsidRPr="00582828" w:rsidRDefault="00EB505F" w:rsidP="00EF1D86">
            <w:pPr>
              <w:ind w:firstLine="69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2. Провести анализ международных трендов в области устойчивого развития и достижения углеродной нейтральности;</w:t>
            </w:r>
          </w:p>
          <w:p w14:paraId="6BAE724C" w14:textId="77777777" w:rsidR="00EB505F" w:rsidRPr="00582828" w:rsidRDefault="00EB505F" w:rsidP="00EF1D86">
            <w:pPr>
              <w:ind w:firstLine="69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3. Идентифицировать и определить ключевые области фокуса развития Зеленого технологического центра (</w:t>
            </w:r>
            <w:r w:rsidRPr="00582828">
              <w:rPr>
                <w:rFonts w:cs="Times New Roman"/>
                <w:szCs w:val="28"/>
                <w:lang w:val="en-US"/>
              </w:rPr>
              <w:t>Greentech</w:t>
            </w:r>
            <w:r w:rsidRPr="00582828">
              <w:rPr>
                <w:rFonts w:cs="Times New Roman"/>
                <w:szCs w:val="28"/>
              </w:rPr>
              <w:t xml:space="preserve"> </w:t>
            </w:r>
            <w:r w:rsidRPr="00582828">
              <w:rPr>
                <w:rFonts w:cs="Times New Roman"/>
                <w:szCs w:val="28"/>
                <w:lang w:val="en-US"/>
              </w:rPr>
              <w:t>hub</w:t>
            </w:r>
            <w:r w:rsidRPr="00582828">
              <w:rPr>
                <w:rFonts w:cs="Times New Roman"/>
                <w:szCs w:val="28"/>
              </w:rPr>
              <w:t>).</w:t>
            </w:r>
          </w:p>
          <w:p w14:paraId="1E63B1DE" w14:textId="77777777" w:rsidR="00EB505F" w:rsidRPr="00582828" w:rsidRDefault="00EB505F" w:rsidP="00EF1D86">
            <w:pPr>
              <w:numPr>
                <w:ilvl w:val="0"/>
                <w:numId w:val="9"/>
              </w:numPr>
              <w:spacing w:after="0"/>
              <w:jc w:val="both"/>
              <w:rPr>
                <w:bCs/>
                <w:szCs w:val="28"/>
              </w:rPr>
            </w:pPr>
            <w:r w:rsidRPr="00582828">
              <w:rPr>
                <w:rFonts w:cs="Times New Roman"/>
                <w:szCs w:val="28"/>
              </w:rPr>
              <w:t xml:space="preserve">4. Содержание Концепции Green Tech </w:t>
            </w:r>
            <w:proofErr w:type="spellStart"/>
            <w:r w:rsidRPr="00582828">
              <w:rPr>
                <w:rFonts w:cs="Times New Roman"/>
                <w:szCs w:val="28"/>
              </w:rPr>
              <w:t>Hub</w:t>
            </w:r>
            <w:proofErr w:type="spellEnd"/>
            <w:r w:rsidRPr="00582828">
              <w:rPr>
                <w:rFonts w:cs="Times New Roman"/>
                <w:szCs w:val="28"/>
              </w:rPr>
              <w:t xml:space="preserve"> должно </w:t>
            </w:r>
            <w:r w:rsidRPr="00582828">
              <w:rPr>
                <w:bCs/>
                <w:szCs w:val="28"/>
              </w:rPr>
              <w:t xml:space="preserve">корреспондировать с другими документами, направленными на развитие Green Tech </w:t>
            </w:r>
            <w:proofErr w:type="spellStart"/>
            <w:r w:rsidRPr="00582828">
              <w:rPr>
                <w:bCs/>
                <w:szCs w:val="28"/>
              </w:rPr>
              <w:t>Hub</w:t>
            </w:r>
            <w:proofErr w:type="spellEnd"/>
            <w:r w:rsidRPr="00582828">
              <w:rPr>
                <w:bCs/>
                <w:szCs w:val="28"/>
              </w:rPr>
              <w:t xml:space="preserve"> (Стратегия, анализ и др.).</w:t>
            </w:r>
          </w:p>
          <w:p w14:paraId="71AB469F" w14:textId="77777777" w:rsidR="00EB505F" w:rsidRPr="00582828" w:rsidRDefault="00EB505F" w:rsidP="00EF1D86">
            <w:pPr>
              <w:ind w:firstLine="697"/>
              <w:rPr>
                <w:rFonts w:cs="Times New Roman"/>
                <w:szCs w:val="28"/>
              </w:rPr>
            </w:pPr>
          </w:p>
          <w:p w14:paraId="52C12BB6" w14:textId="77777777" w:rsidR="00EB505F" w:rsidRPr="00582828" w:rsidRDefault="00EB505F" w:rsidP="00EF1D86">
            <w:pPr>
              <w:spacing w:after="0"/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szCs w:val="28"/>
              </w:rPr>
              <w:t>В случае наличия у Заказчика замечаний/возражений к услугам Исполнитель обязан устранить замечания/возражения Заказчика в согласованные с Заказчиком сроки, но не более 5 (пяти) рабочих дней с момента получения требования Заказчика.</w:t>
            </w:r>
          </w:p>
        </w:tc>
      </w:tr>
    </w:tbl>
    <w:p w14:paraId="17E29906" w14:textId="77777777" w:rsidR="00EB505F" w:rsidRPr="00582828" w:rsidRDefault="00EB505F" w:rsidP="00EB505F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eastAsia="Times New Roman" w:cs="Times New Roman"/>
          <w:b/>
          <w:color w:val="000000"/>
          <w:szCs w:val="28"/>
        </w:rPr>
      </w:pPr>
    </w:p>
    <w:tbl>
      <w:tblPr>
        <w:tblW w:w="1017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EB505F" w:rsidRPr="00582828" w14:paraId="2A044E2A" w14:textId="77777777" w:rsidTr="00EF1D86">
        <w:tc>
          <w:tcPr>
            <w:tcW w:w="10173" w:type="dxa"/>
            <w:shd w:val="clear" w:color="auto" w:fill="E0E0E0"/>
          </w:tcPr>
          <w:p w14:paraId="6B1544FB" w14:textId="77777777" w:rsidR="00EB505F" w:rsidRPr="00582828" w:rsidRDefault="00EB505F" w:rsidP="00EF1D86">
            <w:pPr>
              <w:pStyle w:val="2"/>
              <w:rPr>
                <w:rFonts w:ascii="Times New Roman" w:hAnsi="Times New Roman" w:cs="Times New Roman"/>
              </w:rPr>
            </w:pPr>
            <w:r w:rsidRPr="00582828">
              <w:rPr>
                <w:rFonts w:ascii="Times New Roman" w:hAnsi="Times New Roman" w:cs="Times New Roman"/>
              </w:rPr>
              <w:t>IV. Задачи и ожидаемые результаты</w:t>
            </w:r>
          </w:p>
        </w:tc>
      </w:tr>
      <w:tr w:rsidR="00EB505F" w:rsidRPr="00582828" w14:paraId="7EC126F9" w14:textId="77777777" w:rsidTr="00EF1D86">
        <w:tc>
          <w:tcPr>
            <w:tcW w:w="10173" w:type="dxa"/>
            <w:tcBorders>
              <w:bottom w:val="single" w:sz="4" w:space="0" w:color="000000"/>
            </w:tcBorders>
          </w:tcPr>
          <w:p w14:paraId="02377A34" w14:textId="77777777" w:rsidR="00EB505F" w:rsidRPr="00582828" w:rsidRDefault="00EB505F" w:rsidP="00EF1D86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Оценка текущего состояния рынка зеленых технологий и проектов Казахстана;</w:t>
            </w:r>
          </w:p>
          <w:p w14:paraId="2557C14F" w14:textId="77777777" w:rsidR="00EB505F" w:rsidRPr="00582828" w:rsidRDefault="00EB505F" w:rsidP="00EF1D86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lastRenderedPageBreak/>
              <w:t>Идентификация барьеров развития рынка институциональных, технологических, финансовых и т.д.</w:t>
            </w:r>
          </w:p>
          <w:p w14:paraId="329FB1D1" w14:textId="77777777" w:rsidR="00EB505F" w:rsidRPr="00582828" w:rsidRDefault="00EB505F" w:rsidP="00EF1D86">
            <w:pPr>
              <w:numPr>
                <w:ilvl w:val="0"/>
                <w:numId w:val="5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Определение основных финансовых барьеров, мешающих развитию зеленых проектов.</w:t>
            </w:r>
          </w:p>
          <w:p w14:paraId="33757FA9" w14:textId="77777777" w:rsidR="00EB505F" w:rsidRPr="00582828" w:rsidRDefault="00EB505F" w:rsidP="00EB505F">
            <w:pPr>
              <w:numPr>
                <w:ilvl w:val="0"/>
                <w:numId w:val="6"/>
              </w:numPr>
              <w:spacing w:after="0" w:line="276" w:lineRule="auto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Оценка доступности инвестиций и грантов для внедрения зеленых технологий;</w:t>
            </w:r>
          </w:p>
          <w:p w14:paraId="3DAF3CFA" w14:textId="77777777" w:rsidR="00EB505F" w:rsidRPr="00582828" w:rsidRDefault="00EB505F" w:rsidP="00EB505F">
            <w:pPr>
              <w:numPr>
                <w:ilvl w:val="0"/>
                <w:numId w:val="6"/>
              </w:numPr>
              <w:spacing w:after="0" w:line="276" w:lineRule="auto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Анализ существующих законов и регуляций, затрудняющих развитие зеленой экономики;</w:t>
            </w:r>
          </w:p>
          <w:p w14:paraId="06C320B6" w14:textId="77777777" w:rsidR="00EB505F" w:rsidRPr="00582828" w:rsidRDefault="00EB505F" w:rsidP="00EF1D86">
            <w:pPr>
              <w:numPr>
                <w:ilvl w:val="0"/>
                <w:numId w:val="6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Изучение уровня осведомленности населения и бизнеса Казахстана о зеленых технологиях.</w:t>
            </w:r>
          </w:p>
          <w:p w14:paraId="06CA8A16" w14:textId="77777777" w:rsidR="00EB505F" w:rsidRPr="00582828" w:rsidRDefault="00EB505F" w:rsidP="00EF1D86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Идентификация потребностей в образовательных программах и тренингах.</w:t>
            </w:r>
          </w:p>
          <w:p w14:paraId="232028AA" w14:textId="77777777" w:rsidR="00EB505F" w:rsidRPr="00582828" w:rsidRDefault="00EB505F" w:rsidP="00EF1D86">
            <w:pPr>
              <w:numPr>
                <w:ilvl w:val="0"/>
                <w:numId w:val="2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Сбор и анализ данных по ключевым показателям зеленой экономики.</w:t>
            </w:r>
          </w:p>
          <w:p w14:paraId="23C4BDDA" w14:textId="77777777" w:rsidR="00EB505F" w:rsidRPr="00582828" w:rsidRDefault="00EB505F" w:rsidP="00EF1D8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Изучение успешных кейсов перехода на зеленую экономику в различных странах.</w:t>
            </w:r>
          </w:p>
          <w:p w14:paraId="4DB42199" w14:textId="77777777" w:rsidR="00EB505F" w:rsidRPr="00582828" w:rsidRDefault="00EB505F" w:rsidP="00EF1D8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Определение глобальных трендов и тенденций, влияющих на развитие зеленой экономики (новые технологии, регуляции и т.д.</w:t>
            </w:r>
          </w:p>
          <w:p w14:paraId="1279B66A" w14:textId="77777777" w:rsidR="00EB505F" w:rsidRPr="00582828" w:rsidRDefault="00EB505F" w:rsidP="00EF1D86">
            <w:pPr>
              <w:numPr>
                <w:ilvl w:val="0"/>
                <w:numId w:val="4"/>
              </w:numPr>
              <w:spacing w:after="0"/>
              <w:ind w:left="714" w:hanging="357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Сегментация рынка по основным направлениям: возобновляемая энергия (солнечная, ветровая и т.д.), энергоэффективные технологии, технологии переработки отходов, чистые транспортные решения, умные города и т.д.</w:t>
            </w:r>
          </w:p>
          <w:p w14:paraId="6257AD17" w14:textId="77777777" w:rsidR="00EB505F" w:rsidRPr="00582828" w:rsidRDefault="00EB505F" w:rsidP="00EB505F">
            <w:pPr>
              <w:numPr>
                <w:ilvl w:val="0"/>
                <w:numId w:val="3"/>
              </w:numPr>
              <w:spacing w:after="0" w:line="276" w:lineRule="auto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Оценка объемов рынка и его динамики роста в каждом сегменте.</w:t>
            </w:r>
          </w:p>
          <w:p w14:paraId="5898281E" w14:textId="77777777" w:rsidR="00EB505F" w:rsidRPr="00582828" w:rsidRDefault="00EB505F" w:rsidP="00EB505F">
            <w:pPr>
              <w:numPr>
                <w:ilvl w:val="0"/>
                <w:numId w:val="3"/>
              </w:numPr>
              <w:spacing w:after="240" w:line="276" w:lineRule="auto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Идентификация ключевых регионов и стран-лидеров в каждой категории зеленых технологий.</w:t>
            </w:r>
          </w:p>
          <w:p w14:paraId="6047DBCA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FC7CCDE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eastAsia="Times New Roman" w:cs="Times New Roman"/>
                <w:b/>
                <w:bCs/>
                <w:color w:val="000000"/>
                <w:szCs w:val="28"/>
              </w:rPr>
              <w:t>Форма завершения</w:t>
            </w:r>
            <w:r w:rsidRPr="00582828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  <w:r w:rsidRPr="00582828">
              <w:rPr>
                <w:rFonts w:cs="Times New Roman"/>
                <w:szCs w:val="28"/>
              </w:rPr>
              <w:t>Отчет по оценке рынка и анализу трендов, текущего состояния рынка зеленых технологий в Республике Казахстан.</w:t>
            </w:r>
          </w:p>
          <w:p w14:paraId="6F0B3D7B" w14:textId="77777777" w:rsidR="00EB505F" w:rsidRPr="00582828" w:rsidRDefault="00EB505F" w:rsidP="00EF1D86">
            <w:pPr>
              <w:spacing w:before="240" w:after="240"/>
              <w:ind w:firstLine="426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82828">
              <w:rPr>
                <w:rFonts w:eastAsia="Times New Roman" w:cs="Times New Roman"/>
                <w:b/>
                <w:bCs/>
                <w:color w:val="000000"/>
                <w:szCs w:val="28"/>
              </w:rPr>
              <w:t>Примечание:</w:t>
            </w:r>
          </w:p>
          <w:p w14:paraId="1D4299E9" w14:textId="77777777" w:rsidR="00EB505F" w:rsidRPr="00582828" w:rsidRDefault="00EB505F" w:rsidP="00EB505F">
            <w:pPr>
              <w:numPr>
                <w:ilvl w:val="0"/>
                <w:numId w:val="8"/>
              </w:numPr>
              <w:spacing w:before="240" w:after="0" w:line="276" w:lineRule="auto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Консультант несет ответственность за качество подготовленных материалов в рамках своих обязанностей;</w:t>
            </w:r>
          </w:p>
          <w:p w14:paraId="1F174DCC" w14:textId="77777777" w:rsidR="00EB505F" w:rsidRPr="00582828" w:rsidRDefault="00EB505F" w:rsidP="00EB505F">
            <w:pPr>
              <w:numPr>
                <w:ilvl w:val="0"/>
                <w:numId w:val="8"/>
              </w:numPr>
              <w:spacing w:after="0" w:line="276" w:lineRule="auto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Консультант готовит отчеты на русском и английском языках, исходные подтверждающие материалы, документы, отчеты, таблицы, заметки, аудио и видео записи предоставляются на языке оригинала;</w:t>
            </w:r>
          </w:p>
          <w:p w14:paraId="5C104FE4" w14:textId="77777777" w:rsidR="00EB505F" w:rsidRPr="00582828" w:rsidRDefault="00EB505F" w:rsidP="00EB505F">
            <w:pPr>
              <w:numPr>
                <w:ilvl w:val="0"/>
                <w:numId w:val="8"/>
              </w:numP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Отчеты должны быть представлены в электронном виде в форматах .</w:t>
            </w:r>
            <w:proofErr w:type="spellStart"/>
            <w:r w:rsidRPr="00582828">
              <w:rPr>
                <w:rFonts w:cs="Times New Roman"/>
                <w:szCs w:val="28"/>
              </w:rPr>
              <w:t>doc</w:t>
            </w:r>
            <w:proofErr w:type="spellEnd"/>
            <w:r w:rsidRPr="00582828">
              <w:rPr>
                <w:rFonts w:cs="Times New Roman"/>
                <w:szCs w:val="28"/>
              </w:rPr>
              <w:t>/ .</w:t>
            </w:r>
            <w:proofErr w:type="spellStart"/>
            <w:r w:rsidRPr="00582828">
              <w:rPr>
                <w:rFonts w:cs="Times New Roman"/>
                <w:szCs w:val="28"/>
              </w:rPr>
              <w:t>xls</w:t>
            </w:r>
            <w:proofErr w:type="spellEnd"/>
            <w:r w:rsidRPr="00582828">
              <w:rPr>
                <w:rFonts w:cs="Times New Roman"/>
                <w:szCs w:val="28"/>
              </w:rPr>
              <w:t>/ .</w:t>
            </w:r>
            <w:proofErr w:type="spellStart"/>
            <w:r w:rsidRPr="00582828">
              <w:rPr>
                <w:rFonts w:cs="Times New Roman"/>
                <w:szCs w:val="28"/>
              </w:rPr>
              <w:t>ppt</w:t>
            </w:r>
            <w:proofErr w:type="spellEnd"/>
            <w:r w:rsidRPr="00582828">
              <w:rPr>
                <w:rFonts w:cs="Times New Roman"/>
                <w:szCs w:val="28"/>
              </w:rPr>
              <w:t>/ .</w:t>
            </w:r>
            <w:proofErr w:type="spellStart"/>
            <w:r w:rsidRPr="00582828">
              <w:rPr>
                <w:rFonts w:cs="Times New Roman"/>
                <w:szCs w:val="28"/>
              </w:rPr>
              <w:t>pdf</w:t>
            </w:r>
            <w:proofErr w:type="spellEnd"/>
            <w:r w:rsidRPr="00582828">
              <w:rPr>
                <w:rFonts w:cs="Times New Roman"/>
                <w:szCs w:val="28"/>
              </w:rPr>
              <w:t xml:space="preserve"> и др.</w:t>
            </w:r>
            <w:r w:rsidRPr="00582828">
              <w:rPr>
                <w:rFonts w:cs="Times New Roman"/>
                <w:b/>
                <w:szCs w:val="28"/>
                <w:u w:val="single"/>
              </w:rPr>
              <w:t xml:space="preserve"> </w:t>
            </w:r>
          </w:p>
          <w:p w14:paraId="78D5D449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  <w:p w14:paraId="3E3DFB64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82828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Этапы предоставления работ: </w:t>
            </w:r>
          </w:p>
          <w:p w14:paraId="6AE2035E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360"/>
              <w:jc w:val="both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  <w:tbl>
            <w:tblPr>
              <w:tblW w:w="9917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065"/>
              <w:gridCol w:w="690"/>
              <w:gridCol w:w="5730"/>
              <w:gridCol w:w="2432"/>
            </w:tblGrid>
            <w:tr w:rsidR="00EB505F" w:rsidRPr="00582828" w14:paraId="65EBF64C" w14:textId="77777777" w:rsidTr="00EF1D86">
              <w:trPr>
                <w:trHeight w:val="945"/>
              </w:trPr>
              <w:tc>
                <w:tcPr>
                  <w:tcW w:w="106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BA81765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Этап</w:t>
                  </w:r>
                </w:p>
              </w:tc>
              <w:tc>
                <w:tcPr>
                  <w:tcW w:w="69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966D68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 xml:space="preserve">№ </w:t>
                  </w:r>
                </w:p>
              </w:tc>
              <w:tc>
                <w:tcPr>
                  <w:tcW w:w="5730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F02863" w14:textId="77777777" w:rsidR="00EB505F" w:rsidRPr="00582828" w:rsidRDefault="00EB505F" w:rsidP="00EF1D86">
                  <w:pPr>
                    <w:spacing w:before="240" w:after="240"/>
                    <w:ind w:firstLine="700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Услуги и Результаты</w:t>
                  </w:r>
                </w:p>
              </w:tc>
              <w:tc>
                <w:tcPr>
                  <w:tcW w:w="2432" w:type="dxa"/>
                  <w:tcBorders>
                    <w:top w:val="single" w:sz="5" w:space="0" w:color="000000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34A56AC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Срок оказания услуг</w:t>
                  </w:r>
                </w:p>
              </w:tc>
            </w:tr>
            <w:tr w:rsidR="00EB505F" w:rsidRPr="00582828" w14:paraId="47FD2E9B" w14:textId="77777777" w:rsidTr="00EF1D86">
              <w:trPr>
                <w:trHeight w:val="610"/>
              </w:trPr>
              <w:tc>
                <w:tcPr>
                  <w:tcW w:w="1065" w:type="dxa"/>
                  <w:vMerge w:val="restart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854BE71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lastRenderedPageBreak/>
                    <w:t>I</w:t>
                  </w:r>
                </w:p>
              </w:tc>
              <w:tc>
                <w:tcPr>
                  <w:tcW w:w="690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61AC00E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1</w:t>
                  </w:r>
                </w:p>
              </w:tc>
              <w:tc>
                <w:tcPr>
                  <w:tcW w:w="5730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B46AC1B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 xml:space="preserve">Анализ текущего состояния рынка зеленых технологий и проектов. </w:t>
                  </w:r>
                </w:p>
                <w:p w14:paraId="41456B8A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bCs/>
                      <w:szCs w:val="28"/>
                    </w:rPr>
                    <w:t xml:space="preserve">1 редакция Отчета. Презентация видение. </w:t>
                  </w:r>
                </w:p>
              </w:tc>
              <w:tc>
                <w:tcPr>
                  <w:tcW w:w="2432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F3B5DE8" w14:textId="238F7D0B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 xml:space="preserve">До </w:t>
                  </w:r>
                  <w:r w:rsidR="00E9121E">
                    <w:rPr>
                      <w:rFonts w:cs="Times New Roman"/>
                      <w:szCs w:val="28"/>
                    </w:rPr>
                    <w:t>20</w:t>
                  </w:r>
                  <w:r w:rsidRPr="00582828">
                    <w:rPr>
                      <w:rFonts w:cs="Times New Roman"/>
                      <w:szCs w:val="28"/>
                    </w:rPr>
                    <w:t xml:space="preserve"> </w:t>
                  </w:r>
                  <w:r w:rsidR="00E9121E">
                    <w:rPr>
                      <w:rFonts w:cs="Times New Roman"/>
                      <w:szCs w:val="28"/>
                    </w:rPr>
                    <w:t>сентября</w:t>
                  </w:r>
                  <w:r w:rsidRPr="00582828">
                    <w:rPr>
                      <w:rFonts w:cs="Times New Roman"/>
                      <w:szCs w:val="28"/>
                    </w:rPr>
                    <w:t xml:space="preserve"> </w:t>
                  </w:r>
                </w:p>
                <w:p w14:paraId="438E5FC7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EB505F" w:rsidRPr="00582828" w14:paraId="21ADBB23" w14:textId="77777777" w:rsidTr="00EF1D86">
              <w:trPr>
                <w:trHeight w:val="522"/>
              </w:trPr>
              <w:tc>
                <w:tcPr>
                  <w:tcW w:w="106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6F1DDED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b/>
                      <w:szCs w:val="28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17DBC356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573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4E185D8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2432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AD893E0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EB505F" w:rsidRPr="00582828" w14:paraId="2635100C" w14:textId="77777777" w:rsidTr="00EF1D86">
              <w:trPr>
                <w:trHeight w:val="522"/>
              </w:trPr>
              <w:tc>
                <w:tcPr>
                  <w:tcW w:w="106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F1017D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690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8D2CEBB" w14:textId="77777777" w:rsidR="00EB505F" w:rsidRPr="00582828" w:rsidRDefault="00EB505F" w:rsidP="00EF1D86">
                  <w:pPr>
                    <w:spacing w:before="240" w:after="240"/>
                    <w:ind w:firstLine="700"/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12</w:t>
                  </w:r>
                </w:p>
              </w:tc>
              <w:tc>
                <w:tcPr>
                  <w:tcW w:w="5730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2A51D039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Анализ трендов в области устойчивого развития и достижения углеродной нейтральности.</w:t>
                  </w:r>
                </w:p>
                <w:p w14:paraId="1FADF0F4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bCs/>
                      <w:szCs w:val="28"/>
                    </w:rPr>
                    <w:t>2 редакция Отчета.</w:t>
                  </w:r>
                </w:p>
              </w:tc>
              <w:tc>
                <w:tcPr>
                  <w:tcW w:w="2432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0176BC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EB505F" w:rsidRPr="00582828" w14:paraId="3595FD25" w14:textId="77777777" w:rsidTr="00EF1D86">
              <w:trPr>
                <w:trHeight w:val="610"/>
              </w:trPr>
              <w:tc>
                <w:tcPr>
                  <w:tcW w:w="1065" w:type="dxa"/>
                  <w:vMerge w:val="restart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B558AD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II</w:t>
                  </w:r>
                </w:p>
              </w:tc>
              <w:tc>
                <w:tcPr>
                  <w:tcW w:w="69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417C728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573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F400900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2432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A5F2B5" w14:textId="284F8DAB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 xml:space="preserve">До </w:t>
                  </w:r>
                  <w:r w:rsidR="00E9121E">
                    <w:rPr>
                      <w:rFonts w:cs="Times New Roman"/>
                      <w:szCs w:val="28"/>
                    </w:rPr>
                    <w:t>2</w:t>
                  </w:r>
                  <w:r w:rsidR="00E9121E">
                    <w:rPr>
                      <w:rFonts w:cs="Times New Roman"/>
                      <w:szCs w:val="28"/>
                    </w:rPr>
                    <w:t>9</w:t>
                  </w:r>
                  <w:r w:rsidR="00E9121E" w:rsidRPr="00582828">
                    <w:rPr>
                      <w:rFonts w:cs="Times New Roman"/>
                      <w:szCs w:val="28"/>
                    </w:rPr>
                    <w:t xml:space="preserve"> </w:t>
                  </w:r>
                  <w:r w:rsidR="00E9121E">
                    <w:rPr>
                      <w:rFonts w:cs="Times New Roman"/>
                      <w:szCs w:val="28"/>
                    </w:rPr>
                    <w:t>сентября</w:t>
                  </w:r>
                </w:p>
                <w:p w14:paraId="475CDBF3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506EDD15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4824465F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32AC78E3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1DA67628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160FA045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70843255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1A8BDAB8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</w:p>
                <w:p w14:paraId="025297CB" w14:textId="5E67382E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 xml:space="preserve">До </w:t>
                  </w:r>
                  <w:r w:rsidR="00E9121E">
                    <w:rPr>
                      <w:rFonts w:cs="Times New Roman"/>
                      <w:szCs w:val="28"/>
                    </w:rPr>
                    <w:t xml:space="preserve">4 октября </w:t>
                  </w:r>
                </w:p>
              </w:tc>
            </w:tr>
            <w:tr w:rsidR="00EB505F" w:rsidRPr="00582828" w14:paraId="7541493F" w14:textId="77777777" w:rsidTr="00EF1D86">
              <w:trPr>
                <w:trHeight w:val="1523"/>
              </w:trPr>
              <w:tc>
                <w:tcPr>
                  <w:tcW w:w="106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1D4956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690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C93515E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3</w:t>
                  </w:r>
                </w:p>
              </w:tc>
              <w:tc>
                <w:tcPr>
                  <w:tcW w:w="5730" w:type="dxa"/>
                  <w:vMerge w:val="restart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AA556EA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Идентификация ключевых областей фокуса.</w:t>
                  </w:r>
                </w:p>
                <w:p w14:paraId="3404520F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Результатом услуги является отчет с выводами, построенных на базе проведенного анализа состояния рынка и трендов, а также проведения серии глубинных интервью и опросов с ключевыми стейкхолдерами (с подтверждением всех работ в части сбора информации в виде записей опросов, интервью и/или заметок со встреч)</w:t>
                  </w:r>
                </w:p>
                <w:p w14:paraId="24CCD774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b/>
                      <w:bCs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bCs/>
                      <w:szCs w:val="28"/>
                    </w:rPr>
                    <w:t>Итоговая редакция Отчета.</w:t>
                  </w:r>
                </w:p>
              </w:tc>
              <w:tc>
                <w:tcPr>
                  <w:tcW w:w="2432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7233FD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EB505F" w:rsidRPr="00582828" w14:paraId="4ACEA609" w14:textId="77777777" w:rsidTr="00EF1D86">
              <w:trPr>
                <w:trHeight w:val="1523"/>
              </w:trPr>
              <w:tc>
                <w:tcPr>
                  <w:tcW w:w="106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A3FC02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69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207B7F7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5730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D292D08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2432" w:type="dxa"/>
                  <w:vMerge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B195DA" w14:textId="77777777" w:rsidR="00EB505F" w:rsidRPr="00582828" w:rsidRDefault="00EB505F" w:rsidP="00EF1D86">
                  <w:pPr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EB505F" w:rsidRPr="00582828" w14:paraId="71FEB13A" w14:textId="77777777" w:rsidTr="00EF1D86">
              <w:trPr>
                <w:trHeight w:val="1830"/>
              </w:trPr>
              <w:tc>
                <w:tcPr>
                  <w:tcW w:w="1065" w:type="dxa"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4C478F0" w14:textId="77777777" w:rsidR="00EB505F" w:rsidRPr="00582828" w:rsidRDefault="00EB505F" w:rsidP="00EF1D86">
                  <w:pPr>
                    <w:spacing w:before="240" w:after="240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Общий результат по этапу I и II</w:t>
                  </w:r>
                </w:p>
              </w:tc>
              <w:tc>
                <w:tcPr>
                  <w:tcW w:w="6420" w:type="dxa"/>
                  <w:gridSpan w:val="2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30608EF1" w14:textId="77777777" w:rsidR="00EB505F" w:rsidRPr="00582828" w:rsidRDefault="00EB505F" w:rsidP="00EF1D86">
                  <w:pPr>
                    <w:shd w:val="clear" w:color="auto" w:fill="FFFFFF"/>
                    <w:jc w:val="both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Предоставлен акт выполненных работ (оказанных услуг) и сдан отчет об оказанных услугах, включая подтверждающие материалы/ документы/ отчеты/ аудио или видео записи/ заметки/ служебные записки и т.п.</w:t>
                  </w:r>
                </w:p>
              </w:tc>
              <w:tc>
                <w:tcPr>
                  <w:tcW w:w="2432" w:type="dxa"/>
                  <w:tcBorders>
                    <w:top w:val="nil"/>
                    <w:left w:val="nil"/>
                    <w:bottom w:val="single" w:sz="5" w:space="0" w:color="000000"/>
                    <w:right w:val="single" w:sz="5" w:space="0" w:color="000000"/>
                  </w:tcBorders>
                  <w:shd w:val="clear" w:color="auto" w:fill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35881DB" w14:textId="10527C3B" w:rsidR="00EB505F" w:rsidRPr="00E9121E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E9121E">
                    <w:rPr>
                      <w:rFonts w:cs="Times New Roman"/>
                      <w:b/>
                      <w:szCs w:val="28"/>
                    </w:rPr>
                    <w:t xml:space="preserve">До 5 </w:t>
                  </w:r>
                  <w:r w:rsidR="00E9121E" w:rsidRPr="00E9121E">
                    <w:rPr>
                      <w:rFonts w:cs="Times New Roman"/>
                      <w:b/>
                      <w:szCs w:val="28"/>
                    </w:rPr>
                    <w:t>октября</w:t>
                  </w:r>
                </w:p>
                <w:p w14:paraId="757A5AEA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b/>
                      <w:szCs w:val="28"/>
                    </w:rPr>
                  </w:pPr>
                </w:p>
              </w:tc>
            </w:tr>
          </w:tbl>
          <w:p w14:paraId="52E1DF67" w14:textId="77777777" w:rsidR="00EB505F" w:rsidRPr="00582828" w:rsidRDefault="00EB505F" w:rsidP="00EF1D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Cs w:val="28"/>
              </w:rPr>
            </w:pPr>
          </w:p>
          <w:p w14:paraId="3E444A76" w14:textId="77777777" w:rsidR="00EB505F" w:rsidRPr="00582828" w:rsidRDefault="00EB505F" w:rsidP="00EF1D86">
            <w:pPr>
              <w:spacing w:before="240" w:after="240"/>
              <w:ind w:firstLine="426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582828">
              <w:rPr>
                <w:rFonts w:eastAsia="Times New Roman" w:cs="Times New Roman"/>
                <w:b/>
                <w:bCs/>
                <w:color w:val="000000"/>
                <w:szCs w:val="28"/>
              </w:rPr>
              <w:t>Финансовые условия:</w:t>
            </w:r>
          </w:p>
          <w:p w14:paraId="5CE954C0" w14:textId="77777777" w:rsidR="00EB505F" w:rsidRPr="00582828" w:rsidRDefault="00EB505F" w:rsidP="00EF1D86">
            <w:pPr>
              <w:spacing w:before="240" w:after="240"/>
              <w:ind w:left="426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Оплата за оказанные услуги производится согласно таблице, указанной ниже в течение 5-ти (пяти) рабочих дней со дня подписания акта выполненных работ (оказанных услуг):</w:t>
            </w:r>
          </w:p>
          <w:tbl>
            <w:tblPr>
              <w:tblW w:w="880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165"/>
              <w:gridCol w:w="5640"/>
            </w:tblGrid>
            <w:tr w:rsidR="00EB505F" w:rsidRPr="00582828" w14:paraId="2AF0EDBA" w14:textId="77777777" w:rsidTr="00EF1D86">
              <w:trPr>
                <w:trHeight w:val="390"/>
              </w:trPr>
              <w:tc>
                <w:tcPr>
                  <w:tcW w:w="3165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E653951" w14:textId="77777777" w:rsidR="00EB505F" w:rsidRPr="00582828" w:rsidRDefault="00EB505F" w:rsidP="00EF1D86">
                  <w:pPr>
                    <w:spacing w:before="240" w:after="24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% от суммы договора</w:t>
                  </w:r>
                </w:p>
              </w:tc>
              <w:tc>
                <w:tcPr>
                  <w:tcW w:w="5640" w:type="dxa"/>
                  <w:tcBorders>
                    <w:top w:val="single" w:sz="5" w:space="0" w:color="000001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0C54C407" w14:textId="77777777" w:rsidR="00EB505F" w:rsidRPr="00582828" w:rsidRDefault="00EB505F" w:rsidP="00EF1D86">
                  <w:pPr>
                    <w:ind w:firstLine="70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 w:rsidRPr="00582828">
                    <w:rPr>
                      <w:rFonts w:cs="Times New Roman"/>
                      <w:b/>
                      <w:szCs w:val="28"/>
                    </w:rPr>
                    <w:t>Этап оказания услуг</w:t>
                  </w:r>
                </w:p>
              </w:tc>
            </w:tr>
            <w:tr w:rsidR="00EB505F" w:rsidRPr="00582828" w14:paraId="329A96BE" w14:textId="77777777" w:rsidTr="00EF1D86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77DCC059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lastRenderedPageBreak/>
                    <w:t>50%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ACC16FB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Этап I</w:t>
                  </w:r>
                </w:p>
              </w:tc>
            </w:tr>
            <w:tr w:rsidR="00EB505F" w:rsidRPr="00582828" w14:paraId="74FB99DA" w14:textId="77777777" w:rsidTr="00EF1D86">
              <w:trPr>
                <w:trHeight w:val="285"/>
              </w:trPr>
              <w:tc>
                <w:tcPr>
                  <w:tcW w:w="3165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nil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6F95BEBA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50%</w:t>
                  </w:r>
                </w:p>
              </w:tc>
              <w:tc>
                <w:tcPr>
                  <w:tcW w:w="5640" w:type="dxa"/>
                  <w:tcBorders>
                    <w:top w:val="nil"/>
                    <w:left w:val="single" w:sz="5" w:space="0" w:color="000001"/>
                    <w:bottom w:val="single" w:sz="5" w:space="0" w:color="000001"/>
                    <w:right w:val="single" w:sz="5" w:space="0" w:color="000001"/>
                  </w:tcBorders>
                  <w:shd w:val="clear" w:color="auto" w:fill="FFFFFF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</w:tcPr>
                <w:p w14:paraId="5EC2DF41" w14:textId="77777777" w:rsidR="00EB505F" w:rsidRPr="00582828" w:rsidRDefault="00EB505F" w:rsidP="00EF1D86">
                  <w:pPr>
                    <w:jc w:val="center"/>
                    <w:rPr>
                      <w:rFonts w:cs="Times New Roman"/>
                      <w:szCs w:val="28"/>
                    </w:rPr>
                  </w:pPr>
                  <w:r w:rsidRPr="00582828">
                    <w:rPr>
                      <w:rFonts w:cs="Times New Roman"/>
                      <w:szCs w:val="28"/>
                    </w:rPr>
                    <w:t>Этап II</w:t>
                  </w:r>
                </w:p>
              </w:tc>
            </w:tr>
          </w:tbl>
          <w:p w14:paraId="734A26D8" w14:textId="77777777" w:rsidR="00EB505F" w:rsidRPr="00582828" w:rsidRDefault="00EB505F" w:rsidP="00EF1D86">
            <w:pPr>
              <w:pStyle w:val="a3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53011E0F" w14:textId="77777777" w:rsidR="00EB505F" w:rsidRPr="00582828" w:rsidRDefault="00EB505F" w:rsidP="00EB50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 w:cs="Times New Roman"/>
          <w:b/>
          <w:color w:val="000000"/>
          <w:szCs w:val="28"/>
        </w:rPr>
      </w:pPr>
    </w:p>
    <w:p w14:paraId="6CEB0C2C" w14:textId="77777777" w:rsidR="00EB505F" w:rsidRPr="00582828" w:rsidRDefault="00EB505F" w:rsidP="00EB505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Times New Roman" w:cs="Times New Roman"/>
          <w:b/>
          <w:color w:val="000000"/>
          <w:szCs w:val="28"/>
        </w:rPr>
      </w:pPr>
      <w:r w:rsidRPr="00582828">
        <w:rPr>
          <w:rFonts w:eastAsia="Times New Roman" w:cs="Times New Roman"/>
          <w:b/>
          <w:color w:val="000000"/>
          <w:szCs w:val="28"/>
        </w:rPr>
        <w:t xml:space="preserve"> </w:t>
      </w:r>
    </w:p>
    <w:tbl>
      <w:tblPr>
        <w:tblW w:w="10065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185"/>
      </w:tblGrid>
      <w:tr w:rsidR="00EB505F" w:rsidRPr="00582828" w14:paraId="5A55C551" w14:textId="77777777" w:rsidTr="00EF1D86">
        <w:tc>
          <w:tcPr>
            <w:tcW w:w="10065" w:type="dxa"/>
            <w:gridSpan w:val="2"/>
            <w:shd w:val="clear" w:color="auto" w:fill="E0E0E0"/>
          </w:tcPr>
          <w:p w14:paraId="103EF550" w14:textId="77777777" w:rsidR="00EB505F" w:rsidRPr="00582828" w:rsidRDefault="00EB505F" w:rsidP="00EF1D86">
            <w:pPr>
              <w:pStyle w:val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V.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Квалификационные</w:t>
            </w:r>
            <w:proofErr w:type="spellEnd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82828">
              <w:rPr>
                <w:rFonts w:ascii="Times New Roman" w:hAnsi="Times New Roman" w:cs="Times New Roman"/>
                <w:sz w:val="28"/>
                <w:szCs w:val="28"/>
              </w:rPr>
              <w:t>требования</w:t>
            </w:r>
            <w:proofErr w:type="spellEnd"/>
          </w:p>
        </w:tc>
      </w:tr>
      <w:tr w:rsidR="00EB505F" w:rsidRPr="00582828" w14:paraId="16D6DFC8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277FAAAA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szCs w:val="28"/>
              </w:rPr>
              <w:t>Образование: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67C3075C" w14:textId="77777777" w:rsidR="00EB505F" w:rsidRPr="00582828" w:rsidRDefault="00EB505F" w:rsidP="00EF1D86">
            <w:pPr>
              <w:spacing w:before="240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иметь основное образование (степень бакалавра или магистра) в сфере маркетинга (подтверждается дипломами или сертификатами)</w:t>
            </w:r>
          </w:p>
          <w:p w14:paraId="3FFE38D3" w14:textId="77777777" w:rsidR="00EB505F" w:rsidRPr="00582828" w:rsidRDefault="00EB505F" w:rsidP="00EF1D86">
            <w:pPr>
              <w:rPr>
                <w:rFonts w:eastAsia="Times New Roman" w:cs="Times New Roman"/>
                <w:szCs w:val="28"/>
              </w:rPr>
            </w:pPr>
          </w:p>
        </w:tc>
      </w:tr>
      <w:tr w:rsidR="00EB505F" w:rsidRPr="00582828" w14:paraId="1C7BCF51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4C53A910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szCs w:val="28"/>
              </w:rPr>
              <w:t>Опыт работы: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4089A780" w14:textId="77777777" w:rsidR="00EB505F" w:rsidRPr="00582828" w:rsidRDefault="00EB505F" w:rsidP="00EF1D86">
            <w:pPr>
              <w:spacing w:before="240" w:after="0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В проведении маркетинговых исследований и/или анализе рынков не менее 3-х лет (подтверждается благодарственными письмами и/или актами выполненных работ (оказанных услуг) и/или грамотами или сертификатами).</w:t>
            </w:r>
          </w:p>
          <w:p w14:paraId="7BEBA76C" w14:textId="77777777" w:rsidR="00EB505F" w:rsidRPr="00582828" w:rsidRDefault="00EB505F" w:rsidP="00EF1D86">
            <w:pPr>
              <w:spacing w:before="240" w:after="0"/>
              <w:jc w:val="both"/>
              <w:rPr>
                <w:rFonts w:cs="Times New Roman"/>
                <w:szCs w:val="28"/>
              </w:rPr>
            </w:pPr>
          </w:p>
          <w:p w14:paraId="1A82D6D8" w14:textId="77777777" w:rsidR="00EB505F" w:rsidRPr="00582828" w:rsidRDefault="00EB505F" w:rsidP="00EF1D86">
            <w:pPr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В проведении анализа конкурентного поля, создании маркетинговых стратегий не менее 3-х лет (подтверждается благодарственными письмами и/или актами выполненных работ (оказанных услуг) и/или грамотами или сертификатами).</w:t>
            </w:r>
          </w:p>
          <w:p w14:paraId="2878D2A5" w14:textId="77777777" w:rsidR="00EB505F" w:rsidRPr="00582828" w:rsidRDefault="00EB505F" w:rsidP="00EF1D86">
            <w:pPr>
              <w:pBdr>
                <w:top w:val="none" w:sz="0" w:space="0" w:color="E3E3E3"/>
                <w:left w:val="none" w:sz="0" w:space="0" w:color="E3E3E3"/>
                <w:bottom w:val="none" w:sz="0" w:space="0" w:color="E3E3E3"/>
                <w:right w:val="none" w:sz="0" w:space="0" w:color="E3E3E3"/>
                <w:between w:val="none" w:sz="0" w:space="0" w:color="E3E3E3"/>
              </w:pBdr>
              <w:shd w:val="clear" w:color="auto" w:fill="FFFFFF"/>
              <w:spacing w:before="120" w:after="120"/>
              <w:rPr>
                <w:rFonts w:cs="Times New Roman"/>
                <w:color w:val="0D0D0D"/>
                <w:szCs w:val="28"/>
              </w:rPr>
            </w:pPr>
            <w:r w:rsidRPr="00582828">
              <w:rPr>
                <w:rFonts w:cs="Times New Roman"/>
                <w:color w:val="0D0D0D"/>
                <w:szCs w:val="28"/>
              </w:rPr>
              <w:t>Консультант должен иметь навыки проведения кабинетных исследований:</w:t>
            </w:r>
          </w:p>
          <w:p w14:paraId="3E35C3EE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обозначение тенденций рынка с возможными перспективами развития в различных временных промежутках;</w:t>
            </w:r>
          </w:p>
          <w:p w14:paraId="2FAA5FF2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составление представлений про разные ситуации рынка;</w:t>
            </w:r>
          </w:p>
          <w:p w14:paraId="362FA2A1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проведение анализа конкурентов;</w:t>
            </w:r>
          </w:p>
          <w:p w14:paraId="5C7EBA8D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выявление главных каналов сбыта и лучших способов для продвижения;</w:t>
            </w:r>
          </w:p>
          <w:p w14:paraId="04C798AE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определение и обозначение размера и емкости рынка</w:t>
            </w:r>
          </w:p>
          <w:p w14:paraId="7838FC70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выяснение структуры рынка;</w:t>
            </w:r>
          </w:p>
          <w:p w14:paraId="3D393B7D" w14:textId="77777777" w:rsidR="00EB505F" w:rsidRPr="00582828" w:rsidRDefault="00EB505F" w:rsidP="00EB505F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cs="Times New Roman"/>
                <w:szCs w:val="28"/>
              </w:rPr>
            </w:pPr>
            <w:r w:rsidRPr="00582828">
              <w:rPr>
                <w:rFonts w:cs="Times New Roman"/>
                <w:szCs w:val="28"/>
              </w:rPr>
              <w:t>анализ информации из открытых и закрытых источников.</w:t>
            </w:r>
          </w:p>
          <w:p w14:paraId="57AC0C57" w14:textId="77777777" w:rsidR="00EB505F" w:rsidRPr="00582828" w:rsidRDefault="00EB505F" w:rsidP="00EF1D86">
            <w:pPr>
              <w:jc w:val="both"/>
              <w:rPr>
                <w:rFonts w:cs="Times New Roman"/>
                <w:szCs w:val="28"/>
              </w:rPr>
            </w:pPr>
          </w:p>
          <w:p w14:paraId="7E624EF3" w14:textId="77777777" w:rsidR="00EB505F" w:rsidRPr="00582828" w:rsidRDefault="00EB505F" w:rsidP="00EF1D86">
            <w:pPr>
              <w:numPr>
                <w:ilvl w:val="0"/>
                <w:numId w:val="1"/>
              </w:numPr>
              <w:spacing w:after="0"/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EB505F" w:rsidRPr="00582828" w14:paraId="77A5880A" w14:textId="77777777" w:rsidTr="00EF1D86">
        <w:trPr>
          <w:trHeight w:val="230"/>
        </w:trPr>
        <w:tc>
          <w:tcPr>
            <w:tcW w:w="2880" w:type="dxa"/>
            <w:tcBorders>
              <w:bottom w:val="single" w:sz="4" w:space="0" w:color="000000"/>
            </w:tcBorders>
          </w:tcPr>
          <w:p w14:paraId="54CD26D3" w14:textId="77777777" w:rsidR="00EB505F" w:rsidRPr="00582828" w:rsidRDefault="00EB505F" w:rsidP="00EF1D86">
            <w:pPr>
              <w:jc w:val="both"/>
              <w:rPr>
                <w:rFonts w:eastAsia="Times New Roman" w:cs="Times New Roman"/>
                <w:szCs w:val="28"/>
              </w:rPr>
            </w:pPr>
            <w:r w:rsidRPr="00582828">
              <w:rPr>
                <w:rFonts w:eastAsia="Times New Roman" w:cs="Times New Roman"/>
                <w:szCs w:val="28"/>
              </w:rPr>
              <w:lastRenderedPageBreak/>
              <w:t>Языковые требования:</w:t>
            </w:r>
          </w:p>
        </w:tc>
        <w:tc>
          <w:tcPr>
            <w:tcW w:w="7185" w:type="dxa"/>
            <w:tcBorders>
              <w:bottom w:val="single" w:sz="4" w:space="0" w:color="000000"/>
            </w:tcBorders>
          </w:tcPr>
          <w:p w14:paraId="5D5742AB" w14:textId="77777777" w:rsidR="00EB505F" w:rsidRPr="00582828" w:rsidRDefault="00E9121E" w:rsidP="00EF1D86">
            <w:pPr>
              <w:jc w:val="both"/>
              <w:rPr>
                <w:rFonts w:eastAsia="Times New Roman" w:cs="Times New Roman"/>
                <w:szCs w:val="28"/>
              </w:rPr>
            </w:pPr>
            <w:sdt>
              <w:sdtPr>
                <w:tag w:val="goog_rdk_4"/>
                <w:id w:val="1664586396"/>
              </w:sdtPr>
              <w:sdtEndPr/>
              <w:sdtContent/>
            </w:sdt>
            <w:r w:rsidR="00EB505F" w:rsidRPr="00582828">
              <w:rPr>
                <w:rFonts w:eastAsia="Times New Roman" w:cs="Times New Roman"/>
                <w:szCs w:val="28"/>
              </w:rPr>
              <w:t>Казахский, русский, английский</w:t>
            </w:r>
          </w:p>
        </w:tc>
      </w:tr>
    </w:tbl>
    <w:p w14:paraId="2460D362" w14:textId="77777777" w:rsidR="00EB505F" w:rsidRPr="00582828" w:rsidRDefault="00EB505F" w:rsidP="00EB505F">
      <w:pPr>
        <w:spacing w:after="0"/>
        <w:jc w:val="both"/>
        <w:rPr>
          <w:rFonts w:eastAsia="Times New Roman" w:cs="Times New Roman"/>
          <w:b/>
          <w:szCs w:val="28"/>
          <w:u w:val="single"/>
        </w:rPr>
      </w:pPr>
    </w:p>
    <w:p w14:paraId="319A11DF" w14:textId="4774A0BA" w:rsidR="00EB505F" w:rsidRPr="00582828" w:rsidRDefault="00EB505F" w:rsidP="00EB505F">
      <w:pPr>
        <w:rPr>
          <w:rFonts w:eastAsia="Times New Roman" w:cs="Times New Roman"/>
          <w:b/>
          <w:szCs w:val="28"/>
          <w:u w:val="single"/>
        </w:rPr>
      </w:pPr>
    </w:p>
    <w:sectPr w:rsidR="00EB505F" w:rsidRPr="00582828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3237"/>
    <w:multiLevelType w:val="multilevel"/>
    <w:tmpl w:val="4BE61F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E657E3"/>
    <w:multiLevelType w:val="multilevel"/>
    <w:tmpl w:val="D7D495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122432"/>
    <w:multiLevelType w:val="multilevel"/>
    <w:tmpl w:val="A4421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14B420D"/>
    <w:multiLevelType w:val="multilevel"/>
    <w:tmpl w:val="80828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4FA2186"/>
    <w:multiLevelType w:val="multilevel"/>
    <w:tmpl w:val="9D94E6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8D3FA0"/>
    <w:multiLevelType w:val="multilevel"/>
    <w:tmpl w:val="5DDC2D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A8719F2"/>
    <w:multiLevelType w:val="multilevel"/>
    <w:tmpl w:val="06C2AD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7C2DC2"/>
    <w:multiLevelType w:val="hybridMultilevel"/>
    <w:tmpl w:val="540CADA6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D71AD1"/>
    <w:multiLevelType w:val="multilevel"/>
    <w:tmpl w:val="082CD9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7F2"/>
    <w:rsid w:val="006C0B77"/>
    <w:rsid w:val="008242FF"/>
    <w:rsid w:val="00870751"/>
    <w:rsid w:val="00922C48"/>
    <w:rsid w:val="00B557F2"/>
    <w:rsid w:val="00B915B7"/>
    <w:rsid w:val="00E9121E"/>
    <w:rsid w:val="00EA59DF"/>
    <w:rsid w:val="00EB505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5CC1"/>
  <w15:chartTrackingRefBased/>
  <w15:docId w15:val="{1FBE0482-2DF7-498E-B987-E1731670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EB505F"/>
    <w:pPr>
      <w:keepNext/>
      <w:spacing w:after="0"/>
      <w:outlineLvl w:val="0"/>
    </w:pPr>
    <w:rPr>
      <w:rFonts w:ascii="Arial" w:eastAsia="Times New Roman" w:hAnsi="Arial" w:cs="Calibri"/>
      <w:b/>
      <w:bCs/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5F"/>
    <w:pPr>
      <w:keepNext/>
      <w:spacing w:before="240" w:after="60" w:line="276" w:lineRule="auto"/>
      <w:outlineLvl w:val="1"/>
    </w:pPr>
    <w:rPr>
      <w:rFonts w:ascii="Calibri Light" w:eastAsia="Times New Roman" w:hAnsi="Calibri Light" w:cs="Calibri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5F"/>
    <w:pPr>
      <w:keepNext/>
      <w:spacing w:before="240" w:after="60" w:line="276" w:lineRule="auto"/>
      <w:outlineLvl w:val="2"/>
    </w:pPr>
    <w:rPr>
      <w:rFonts w:ascii="Calibri Light" w:eastAsia="Times New Roman" w:hAnsi="Calibri Light"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05F"/>
    <w:rPr>
      <w:rFonts w:ascii="Arial" w:eastAsia="Times New Roman" w:hAnsi="Arial" w:cs="Calibri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EB505F"/>
    <w:rPr>
      <w:rFonts w:ascii="Calibri Light" w:eastAsia="Times New Roman" w:hAnsi="Calibri Light" w:cs="Calibr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505F"/>
    <w:rPr>
      <w:rFonts w:ascii="Calibri Light" w:eastAsia="Times New Roman" w:hAnsi="Calibri Light" w:cs="Calibri"/>
      <w:b/>
      <w:bCs/>
      <w:sz w:val="26"/>
      <w:szCs w:val="26"/>
    </w:rPr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link w:val="a4"/>
    <w:uiPriority w:val="34"/>
    <w:qFormat/>
    <w:rsid w:val="00EB505F"/>
    <w:pPr>
      <w:spacing w:after="0"/>
      <w:ind w:left="720"/>
      <w:contextualSpacing/>
      <w:jc w:val="both"/>
    </w:pPr>
    <w:rPr>
      <w:rFonts w:eastAsia="Times New Roman" w:cs="Calibri"/>
      <w:sz w:val="24"/>
      <w:szCs w:val="24"/>
      <w:lang w:val="en-GB"/>
    </w:rPr>
  </w:style>
  <w:style w:type="character" w:customStyle="1" w:styleId="a4">
    <w:name w:val="Абзац списка Знак"/>
    <w:aliases w:val="List Paragraph1 Знак,Bullets Знак,Left Bullet L1 Знак,List Paragraph (numbered (a)) Знак,WB Para Знак,Párrafo de lista1 Знак,LEVEL ONE Bullets Знак,Akapit z listą BS Знак,Цветной список - Акцент 11 Знак,Medium Grid 1 - Accent 21 Знак"/>
    <w:link w:val="a3"/>
    <w:uiPriority w:val="34"/>
    <w:locked/>
    <w:rsid w:val="00EB505F"/>
    <w:rPr>
      <w:rFonts w:ascii="Times New Roman" w:eastAsia="Times New Roman" w:hAnsi="Times New Roman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1184</Words>
  <Characters>6752</Characters>
  <Application>Microsoft Office Word</Application>
  <DocSecurity>0</DocSecurity>
  <Lines>56</Lines>
  <Paragraphs>15</Paragraphs>
  <ScaleCrop>false</ScaleCrop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2024-08-22T09:46:00Z</dcterms:created>
  <dcterms:modified xsi:type="dcterms:W3CDTF">2024-08-22T09:54:00Z</dcterms:modified>
</cp:coreProperties>
</file>