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7C4F5" w14:textId="77777777" w:rsidR="002135EA" w:rsidRPr="002135EA" w:rsidRDefault="002135EA" w:rsidP="002135EA">
      <w:pPr>
        <w:spacing w:after="0" w:line="240" w:lineRule="auto"/>
        <w:ind w:firstLine="709"/>
        <w:jc w:val="center"/>
        <w:rPr>
          <w:rFonts w:ascii="Times New Roman" w:hAnsi="Times New Roman" w:cs="Times New Roman"/>
          <w:b/>
          <w:bCs/>
          <w:color w:val="000000"/>
          <w:sz w:val="20"/>
          <w:szCs w:val="20"/>
          <w:lang w:val="en-US"/>
        </w:rPr>
      </w:pPr>
      <w:r w:rsidRPr="002135EA">
        <w:rPr>
          <w:rFonts w:ascii="Times New Roman" w:hAnsi="Times New Roman" w:cs="Times New Roman"/>
          <w:b/>
          <w:bCs/>
          <w:color w:val="000000"/>
          <w:sz w:val="20"/>
          <w:szCs w:val="20"/>
          <w:lang w:val="en-US"/>
        </w:rPr>
        <w:t>Information on the implementation of recommendations made following the internal analysis of corruption risks</w:t>
      </w:r>
    </w:p>
    <w:p w14:paraId="30EBBFD3" w14:textId="77777777" w:rsidR="002135EA" w:rsidRPr="002135EA" w:rsidRDefault="002135EA" w:rsidP="002135EA">
      <w:pPr>
        <w:spacing w:after="0" w:line="240" w:lineRule="auto"/>
        <w:ind w:firstLine="709"/>
        <w:jc w:val="both"/>
        <w:rPr>
          <w:rFonts w:ascii="Times New Roman" w:hAnsi="Times New Roman" w:cs="Times New Roman"/>
          <w:color w:val="000000"/>
          <w:sz w:val="20"/>
          <w:szCs w:val="20"/>
          <w:lang w:val="en-US"/>
        </w:rPr>
      </w:pPr>
      <w:r w:rsidRPr="002135EA">
        <w:rPr>
          <w:rFonts w:ascii="Times New Roman" w:hAnsi="Times New Roman" w:cs="Times New Roman"/>
          <w:color w:val="000000"/>
          <w:sz w:val="20"/>
          <w:szCs w:val="20"/>
          <w:lang w:val="en-US"/>
        </w:rPr>
        <w:t>In accordance with paragraph 26 of the Model Rules for conducting an internal analysis of corruption risks, approved by Order No. 12 of the Chairman of the Agency of the Republic of Kazakhstan for Civil Service Affairs and Anti-Corruption dated October 19, 2016, I hereby provide information on the implementation of the recommendations made following the internal analysis of corruption risks.</w:t>
      </w:r>
    </w:p>
    <w:p w14:paraId="459E6AEC" w14:textId="3E7D4C58" w:rsidR="00CF7A63" w:rsidRPr="00771E1B" w:rsidRDefault="00CF7A63" w:rsidP="009647D3">
      <w:pPr>
        <w:spacing w:after="0" w:line="240" w:lineRule="auto"/>
        <w:ind w:firstLine="709"/>
        <w:jc w:val="both"/>
        <w:rPr>
          <w:rFonts w:ascii="Times New Roman" w:hAnsi="Times New Roman" w:cs="Times New Roman"/>
          <w:color w:val="000000"/>
          <w:sz w:val="20"/>
          <w:szCs w:val="20"/>
          <w:lang w:val="en-US"/>
        </w:rPr>
      </w:pPr>
    </w:p>
    <w:tbl>
      <w:tblPr>
        <w:tblStyle w:val="ad"/>
        <w:tblW w:w="0" w:type="auto"/>
        <w:tblLook w:val="04A0" w:firstRow="1" w:lastRow="0" w:firstColumn="1" w:lastColumn="0" w:noHBand="0" w:noVBand="1"/>
      </w:tblPr>
      <w:tblGrid>
        <w:gridCol w:w="560"/>
        <w:gridCol w:w="4538"/>
        <w:gridCol w:w="2129"/>
        <w:gridCol w:w="2118"/>
      </w:tblGrid>
      <w:tr w:rsidR="00BD5DB5" w:rsidRPr="00771E1B" w14:paraId="24E7C4C3" w14:textId="77777777" w:rsidTr="002C26AC">
        <w:tc>
          <w:tcPr>
            <w:tcW w:w="560" w:type="dxa"/>
          </w:tcPr>
          <w:p w14:paraId="4CE719D8" w14:textId="6356D3AD" w:rsidR="00CF7A63" w:rsidRPr="00771E1B" w:rsidRDefault="00771E1B" w:rsidP="00AB6301">
            <w:pPr>
              <w:spacing w:line="240" w:lineRule="auto"/>
              <w:rPr>
                <w:rFonts w:ascii="Times New Roman" w:hAnsi="Times New Roman" w:cs="Times New Roman"/>
                <w:sz w:val="20"/>
                <w:szCs w:val="20"/>
              </w:rPr>
            </w:pPr>
            <w:r w:rsidRPr="00771E1B">
              <w:rPr>
                <w:rFonts w:ascii="Times New Roman" w:hAnsi="Times New Roman" w:cs="Times New Roman"/>
                <w:b/>
                <w:color w:val="000000"/>
                <w:sz w:val="20"/>
                <w:szCs w:val="20"/>
              </w:rPr>
              <w:t xml:space="preserve">No. </w:t>
            </w:r>
          </w:p>
        </w:tc>
        <w:tc>
          <w:tcPr>
            <w:tcW w:w="4538" w:type="dxa"/>
          </w:tcPr>
          <w:p w14:paraId="58D7589F" w14:textId="2A90A16B" w:rsidR="00CF7A63" w:rsidRPr="00771E1B" w:rsidRDefault="00771E1B" w:rsidP="00AC019C">
            <w:pPr>
              <w:spacing w:line="240" w:lineRule="auto"/>
              <w:jc w:val="center"/>
              <w:rPr>
                <w:rFonts w:ascii="Times New Roman" w:hAnsi="Times New Roman" w:cs="Times New Roman"/>
                <w:sz w:val="20"/>
                <w:szCs w:val="20"/>
              </w:rPr>
            </w:pPr>
            <w:r w:rsidRPr="00771E1B">
              <w:rPr>
                <w:rFonts w:ascii="Times New Roman" w:hAnsi="Times New Roman" w:cs="Times New Roman"/>
                <w:b/>
                <w:color w:val="000000"/>
                <w:sz w:val="20"/>
                <w:szCs w:val="20"/>
              </w:rPr>
              <w:t>Recommendation</w:t>
            </w:r>
          </w:p>
        </w:tc>
        <w:tc>
          <w:tcPr>
            <w:tcW w:w="2129" w:type="dxa"/>
          </w:tcPr>
          <w:p w14:paraId="586FADD7" w14:textId="310205A4" w:rsidR="00CF7A63" w:rsidRPr="00771E1B" w:rsidRDefault="00771E1B" w:rsidP="00AC019C">
            <w:pPr>
              <w:spacing w:line="240" w:lineRule="auto"/>
              <w:jc w:val="center"/>
              <w:rPr>
                <w:rFonts w:ascii="Times New Roman" w:hAnsi="Times New Roman" w:cs="Times New Roman"/>
                <w:sz w:val="20"/>
                <w:szCs w:val="20"/>
                <w:lang w:val="en-US"/>
              </w:rPr>
            </w:pPr>
            <w:r w:rsidRPr="00771E1B">
              <w:rPr>
                <w:rFonts w:ascii="Times New Roman" w:hAnsi="Times New Roman" w:cs="Times New Roman"/>
                <w:b/>
                <w:color w:val="000000"/>
                <w:sz w:val="20"/>
                <w:szCs w:val="20"/>
                <w:lang w:val="en-US"/>
              </w:rPr>
              <w:t>Completion Form According to the Action Plan</w:t>
            </w:r>
          </w:p>
        </w:tc>
        <w:tc>
          <w:tcPr>
            <w:tcW w:w="2118" w:type="dxa"/>
          </w:tcPr>
          <w:p w14:paraId="4F6D0864" w14:textId="1D846DA7" w:rsidR="00CF7A63" w:rsidRPr="00771E1B" w:rsidRDefault="00771E1B" w:rsidP="00AC019C">
            <w:pPr>
              <w:spacing w:line="240" w:lineRule="auto"/>
              <w:jc w:val="center"/>
              <w:rPr>
                <w:rFonts w:ascii="Times New Roman" w:hAnsi="Times New Roman" w:cs="Times New Roman"/>
                <w:sz w:val="20"/>
                <w:szCs w:val="20"/>
              </w:rPr>
            </w:pPr>
            <w:r w:rsidRPr="00771E1B">
              <w:rPr>
                <w:rFonts w:ascii="Times New Roman" w:hAnsi="Times New Roman" w:cs="Times New Roman"/>
                <w:b/>
                <w:color w:val="000000"/>
                <w:sz w:val="20"/>
                <w:szCs w:val="20"/>
              </w:rPr>
              <w:t>Implementation Information</w:t>
            </w:r>
          </w:p>
        </w:tc>
      </w:tr>
      <w:tr w:rsidR="00BD5DB5" w:rsidRPr="00771E1B" w14:paraId="46EF96A8" w14:textId="77777777" w:rsidTr="002C26AC">
        <w:tc>
          <w:tcPr>
            <w:tcW w:w="560" w:type="dxa"/>
          </w:tcPr>
          <w:p w14:paraId="6A743DE9" w14:textId="3858A28A" w:rsidR="00DB47F1" w:rsidRPr="00771E1B" w:rsidRDefault="00DB47F1" w:rsidP="009F424C">
            <w:pPr>
              <w:spacing w:line="240" w:lineRule="auto"/>
              <w:rPr>
                <w:rFonts w:ascii="Times New Roman" w:hAnsi="Times New Roman" w:cs="Times New Roman"/>
                <w:sz w:val="20"/>
                <w:szCs w:val="20"/>
              </w:rPr>
            </w:pPr>
            <w:r w:rsidRPr="00771E1B">
              <w:rPr>
                <w:rFonts w:ascii="Times New Roman" w:hAnsi="Times New Roman" w:cs="Times New Roman"/>
                <w:sz w:val="20"/>
                <w:szCs w:val="20"/>
              </w:rPr>
              <w:t>1</w:t>
            </w:r>
          </w:p>
        </w:tc>
        <w:tc>
          <w:tcPr>
            <w:tcW w:w="4538" w:type="dxa"/>
          </w:tcPr>
          <w:p w14:paraId="08780205" w14:textId="1DA47046" w:rsidR="00DB47F1" w:rsidRPr="00771E1B" w:rsidRDefault="0022316F" w:rsidP="009F424C">
            <w:pPr>
              <w:spacing w:line="240" w:lineRule="auto"/>
              <w:rPr>
                <w:rFonts w:ascii="Times New Roman" w:hAnsi="Times New Roman" w:cs="Times New Roman"/>
                <w:sz w:val="20"/>
                <w:szCs w:val="20"/>
                <w:lang w:val="en-US"/>
              </w:rPr>
            </w:pPr>
            <w:r w:rsidRPr="00771E1B">
              <w:rPr>
                <w:rFonts w:ascii="Times New Roman" w:hAnsi="Times New Roman" w:cs="Times New Roman"/>
                <w:sz w:val="20"/>
                <w:szCs w:val="20"/>
                <w:lang w:val="en-US"/>
              </w:rPr>
              <w:t xml:space="preserve">When engaging potential service providers, strictly adhere to the procedures </w:t>
            </w:r>
            <w:r w:rsidRPr="00771E1B">
              <w:rPr>
                <w:rFonts w:ascii="Times New Roman" w:hAnsi="Times New Roman" w:cs="Times New Roman"/>
                <w:sz w:val="20"/>
                <w:szCs w:val="20"/>
              </w:rPr>
              <w:t>предусмотренные</w:t>
            </w:r>
            <w:r w:rsidRPr="00771E1B">
              <w:rPr>
                <w:rFonts w:ascii="Times New Roman" w:hAnsi="Times New Roman" w:cs="Times New Roman"/>
                <w:sz w:val="20"/>
                <w:szCs w:val="20"/>
                <w:lang w:val="en-US"/>
              </w:rPr>
              <w:t xml:space="preserve"> the Rules for the selection, preparation, conclusion, and execution of contracts for remunerated services with individuals who are not business entities.</w:t>
            </w:r>
          </w:p>
        </w:tc>
        <w:tc>
          <w:tcPr>
            <w:tcW w:w="2129" w:type="dxa"/>
            <w:vMerge w:val="restart"/>
          </w:tcPr>
          <w:p w14:paraId="7EF21C48" w14:textId="6505B211" w:rsidR="00DB47F1" w:rsidRPr="00771E1B" w:rsidRDefault="00B153C1" w:rsidP="009F424C">
            <w:pPr>
              <w:spacing w:line="240" w:lineRule="auto"/>
              <w:rPr>
                <w:rFonts w:ascii="Times New Roman" w:hAnsi="Times New Roman" w:cs="Times New Roman"/>
                <w:sz w:val="20"/>
                <w:szCs w:val="20"/>
                <w:lang w:val="en-US"/>
              </w:rPr>
            </w:pPr>
            <w:r w:rsidRPr="00771E1B">
              <w:rPr>
                <w:rFonts w:ascii="Times New Roman" w:hAnsi="Times New Roman" w:cs="Times New Roman"/>
                <w:sz w:val="20"/>
                <w:szCs w:val="20"/>
                <w:lang w:val="en-US"/>
              </w:rPr>
              <w:t>An extract from the decision of the relevant governing body of the Company on the approval of the internal regulatory document, including amendments and/or additions.</w:t>
            </w:r>
          </w:p>
        </w:tc>
        <w:tc>
          <w:tcPr>
            <w:tcW w:w="2118" w:type="dxa"/>
            <w:vMerge w:val="restart"/>
          </w:tcPr>
          <w:p w14:paraId="4A3DFA4A" w14:textId="0767DA95" w:rsidR="008933BE" w:rsidRPr="00771E1B" w:rsidRDefault="00B153C1" w:rsidP="009F424C">
            <w:pPr>
              <w:spacing w:line="240" w:lineRule="auto"/>
              <w:rPr>
                <w:rFonts w:ascii="Times New Roman" w:hAnsi="Times New Roman" w:cs="Times New Roman"/>
                <w:sz w:val="20"/>
                <w:szCs w:val="20"/>
                <w:lang w:val="en-US"/>
              </w:rPr>
            </w:pPr>
            <w:r w:rsidRPr="00771E1B">
              <w:rPr>
                <w:rFonts w:ascii="Times New Roman" w:hAnsi="Times New Roman" w:cs="Times New Roman"/>
                <w:sz w:val="20"/>
                <w:szCs w:val="20"/>
                <w:lang w:val="en-US"/>
              </w:rPr>
              <w:t>By Resolution No. 24 of the Management Board of JSC “MCZTIP” dated July 24, 2025, amendments and additions were made to the Rules governing the selection, preparation, conclusion, and execution of contracts for remunerated services with individuals who are not engaged in entrepreneurial activities of the Company.</w:t>
            </w:r>
          </w:p>
          <w:p w14:paraId="2933E547" w14:textId="4FA11144" w:rsidR="00DB47F1" w:rsidRPr="00771E1B" w:rsidRDefault="00DB47F1" w:rsidP="009F424C">
            <w:pPr>
              <w:spacing w:line="240" w:lineRule="auto"/>
              <w:rPr>
                <w:rFonts w:ascii="Times New Roman" w:hAnsi="Times New Roman" w:cs="Times New Roman"/>
                <w:sz w:val="20"/>
                <w:szCs w:val="20"/>
                <w:lang w:val="en-US"/>
              </w:rPr>
            </w:pPr>
          </w:p>
        </w:tc>
      </w:tr>
      <w:tr w:rsidR="00BD5DB5" w:rsidRPr="00771E1B" w14:paraId="500E60CF" w14:textId="77777777" w:rsidTr="002C26AC">
        <w:tc>
          <w:tcPr>
            <w:tcW w:w="560" w:type="dxa"/>
          </w:tcPr>
          <w:p w14:paraId="707377E8" w14:textId="3B605CA7" w:rsidR="00DB47F1" w:rsidRPr="00771E1B" w:rsidRDefault="00DB47F1" w:rsidP="009F424C">
            <w:pPr>
              <w:spacing w:line="240" w:lineRule="auto"/>
              <w:rPr>
                <w:rFonts w:ascii="Times New Roman" w:hAnsi="Times New Roman" w:cs="Times New Roman"/>
                <w:sz w:val="20"/>
                <w:szCs w:val="20"/>
              </w:rPr>
            </w:pPr>
            <w:r w:rsidRPr="00771E1B">
              <w:rPr>
                <w:rFonts w:ascii="Times New Roman" w:hAnsi="Times New Roman" w:cs="Times New Roman"/>
                <w:sz w:val="20"/>
                <w:szCs w:val="20"/>
              </w:rPr>
              <w:t>2</w:t>
            </w:r>
          </w:p>
        </w:tc>
        <w:tc>
          <w:tcPr>
            <w:tcW w:w="4538" w:type="dxa"/>
          </w:tcPr>
          <w:p w14:paraId="18CBE70F" w14:textId="274441D4" w:rsidR="00DB47F1" w:rsidRPr="00771E1B" w:rsidRDefault="00A876EB" w:rsidP="009F424C">
            <w:pPr>
              <w:spacing w:line="240" w:lineRule="auto"/>
              <w:rPr>
                <w:rFonts w:ascii="Times New Roman" w:hAnsi="Times New Roman" w:cs="Times New Roman"/>
                <w:sz w:val="20"/>
                <w:szCs w:val="20"/>
                <w:lang w:val="en-US"/>
              </w:rPr>
            </w:pPr>
            <w:r w:rsidRPr="00771E1B">
              <w:rPr>
                <w:rFonts w:ascii="Times New Roman" w:hAnsi="Times New Roman" w:cs="Times New Roman"/>
                <w:sz w:val="20"/>
                <w:szCs w:val="20"/>
                <w:lang w:val="en-US"/>
              </w:rPr>
              <w:t>Provide for the possibility of audio and video recording of interviews with potential service providers, with subsequent storage of the selection (competition) materials for one year from the date of their conduct.</w:t>
            </w:r>
          </w:p>
        </w:tc>
        <w:tc>
          <w:tcPr>
            <w:tcW w:w="2129" w:type="dxa"/>
            <w:vMerge/>
          </w:tcPr>
          <w:p w14:paraId="616BF3F4" w14:textId="77777777" w:rsidR="00DB47F1" w:rsidRPr="00771E1B" w:rsidRDefault="00DB47F1" w:rsidP="009F424C">
            <w:pPr>
              <w:spacing w:line="240" w:lineRule="auto"/>
              <w:rPr>
                <w:rFonts w:ascii="Times New Roman" w:hAnsi="Times New Roman" w:cs="Times New Roman"/>
                <w:sz w:val="20"/>
                <w:szCs w:val="20"/>
                <w:lang w:val="en-US"/>
              </w:rPr>
            </w:pPr>
          </w:p>
        </w:tc>
        <w:tc>
          <w:tcPr>
            <w:tcW w:w="2118" w:type="dxa"/>
            <w:vMerge/>
          </w:tcPr>
          <w:p w14:paraId="057AB8C0" w14:textId="77777777" w:rsidR="00DB47F1" w:rsidRPr="00771E1B" w:rsidRDefault="00DB47F1" w:rsidP="009F424C">
            <w:pPr>
              <w:spacing w:line="240" w:lineRule="auto"/>
              <w:rPr>
                <w:rFonts w:ascii="Times New Roman" w:hAnsi="Times New Roman" w:cs="Times New Roman"/>
                <w:sz w:val="20"/>
                <w:szCs w:val="20"/>
                <w:lang w:val="en-US"/>
              </w:rPr>
            </w:pPr>
          </w:p>
        </w:tc>
      </w:tr>
      <w:tr w:rsidR="00BD5DB5" w:rsidRPr="00771E1B" w14:paraId="2D1C68F4" w14:textId="77777777" w:rsidTr="002C26AC">
        <w:tc>
          <w:tcPr>
            <w:tcW w:w="560" w:type="dxa"/>
          </w:tcPr>
          <w:p w14:paraId="376A0ADE" w14:textId="5B7D1F7D" w:rsidR="00DB47F1" w:rsidRPr="00771E1B" w:rsidRDefault="00DB47F1" w:rsidP="009F424C">
            <w:pPr>
              <w:spacing w:line="240" w:lineRule="auto"/>
              <w:rPr>
                <w:rFonts w:ascii="Times New Roman" w:hAnsi="Times New Roman" w:cs="Times New Roman"/>
                <w:sz w:val="20"/>
                <w:szCs w:val="20"/>
                <w:lang w:val="en-US"/>
              </w:rPr>
            </w:pPr>
            <w:r w:rsidRPr="00771E1B">
              <w:rPr>
                <w:rFonts w:ascii="Times New Roman" w:hAnsi="Times New Roman" w:cs="Times New Roman"/>
                <w:sz w:val="20"/>
                <w:szCs w:val="20"/>
                <w:lang w:val="en-US"/>
              </w:rPr>
              <w:t>3</w:t>
            </w:r>
          </w:p>
        </w:tc>
        <w:tc>
          <w:tcPr>
            <w:tcW w:w="4538" w:type="dxa"/>
          </w:tcPr>
          <w:p w14:paraId="7A2FAA01" w14:textId="393BFBA5" w:rsidR="00DB47F1" w:rsidRPr="00771E1B" w:rsidRDefault="00A876EB" w:rsidP="009F424C">
            <w:pPr>
              <w:spacing w:line="240" w:lineRule="auto"/>
              <w:rPr>
                <w:rFonts w:ascii="Times New Roman" w:hAnsi="Times New Roman" w:cs="Times New Roman"/>
                <w:sz w:val="20"/>
                <w:szCs w:val="20"/>
                <w:lang w:val="en-US"/>
              </w:rPr>
            </w:pPr>
            <w:r w:rsidRPr="00771E1B">
              <w:rPr>
                <w:rFonts w:ascii="Times New Roman" w:hAnsi="Times New Roman" w:cs="Times New Roman"/>
                <w:sz w:val="20"/>
                <w:szCs w:val="20"/>
                <w:lang w:val="en-US"/>
              </w:rPr>
              <w:t>In order to prevent information leakage, the interview questions for potential service providers must be determined and approved by the contract initiator immediately prior to the interview, in the presence of a commission composed of representatives of the Company’s structural subdivisions.</w:t>
            </w:r>
          </w:p>
        </w:tc>
        <w:tc>
          <w:tcPr>
            <w:tcW w:w="2129" w:type="dxa"/>
            <w:vMerge/>
          </w:tcPr>
          <w:p w14:paraId="1199F3E2" w14:textId="77777777" w:rsidR="00DB47F1" w:rsidRPr="00771E1B" w:rsidRDefault="00DB47F1" w:rsidP="009F424C">
            <w:pPr>
              <w:spacing w:line="240" w:lineRule="auto"/>
              <w:rPr>
                <w:rFonts w:ascii="Times New Roman" w:hAnsi="Times New Roman" w:cs="Times New Roman"/>
                <w:sz w:val="20"/>
                <w:szCs w:val="20"/>
                <w:lang w:val="en-US"/>
              </w:rPr>
            </w:pPr>
          </w:p>
        </w:tc>
        <w:tc>
          <w:tcPr>
            <w:tcW w:w="2118" w:type="dxa"/>
            <w:vMerge/>
          </w:tcPr>
          <w:p w14:paraId="5A2DE0F8" w14:textId="77777777" w:rsidR="00DB47F1" w:rsidRPr="00771E1B" w:rsidRDefault="00DB47F1" w:rsidP="009F424C">
            <w:pPr>
              <w:spacing w:line="240" w:lineRule="auto"/>
              <w:rPr>
                <w:rFonts w:ascii="Times New Roman" w:hAnsi="Times New Roman" w:cs="Times New Roman"/>
                <w:sz w:val="20"/>
                <w:szCs w:val="20"/>
                <w:lang w:val="en-US"/>
              </w:rPr>
            </w:pPr>
          </w:p>
        </w:tc>
      </w:tr>
      <w:tr w:rsidR="00BD5DB5" w:rsidRPr="00771E1B" w14:paraId="6BA8DC6E" w14:textId="77777777" w:rsidTr="002C26AC">
        <w:tc>
          <w:tcPr>
            <w:tcW w:w="560" w:type="dxa"/>
          </w:tcPr>
          <w:p w14:paraId="083D8000" w14:textId="6A2DF385" w:rsidR="00DB47F1" w:rsidRPr="00771E1B" w:rsidRDefault="00DB47F1" w:rsidP="009F424C">
            <w:pPr>
              <w:spacing w:line="240" w:lineRule="auto"/>
              <w:rPr>
                <w:rFonts w:ascii="Times New Roman" w:hAnsi="Times New Roman" w:cs="Times New Roman"/>
                <w:sz w:val="20"/>
                <w:szCs w:val="20"/>
                <w:lang w:val="en-US"/>
              </w:rPr>
            </w:pPr>
            <w:r w:rsidRPr="00771E1B">
              <w:rPr>
                <w:rFonts w:ascii="Times New Roman" w:hAnsi="Times New Roman" w:cs="Times New Roman"/>
                <w:sz w:val="20"/>
                <w:szCs w:val="20"/>
                <w:lang w:val="en-US"/>
              </w:rPr>
              <w:t>4</w:t>
            </w:r>
          </w:p>
        </w:tc>
        <w:tc>
          <w:tcPr>
            <w:tcW w:w="4538" w:type="dxa"/>
          </w:tcPr>
          <w:p w14:paraId="3A644502" w14:textId="4E0FB200" w:rsidR="00DB47F1" w:rsidRPr="00771E1B" w:rsidRDefault="00776241" w:rsidP="009F424C">
            <w:pPr>
              <w:spacing w:line="240" w:lineRule="auto"/>
              <w:rPr>
                <w:rFonts w:ascii="Times New Roman" w:hAnsi="Times New Roman" w:cs="Times New Roman"/>
                <w:sz w:val="20"/>
                <w:szCs w:val="20"/>
                <w:lang w:val="en-US"/>
              </w:rPr>
            </w:pPr>
            <w:r w:rsidRPr="00771E1B">
              <w:rPr>
                <w:rFonts w:ascii="Times New Roman" w:hAnsi="Times New Roman" w:cs="Times New Roman"/>
                <w:sz w:val="20"/>
                <w:szCs w:val="20"/>
                <w:lang w:val="en-US"/>
              </w:rPr>
              <w:t>Interviews with potential service providers should be conducted not only by the contract initiator, but should also provide for the mandatory participation of representatives of the Company’s structural subdivisions or members of the Human Resources Committee.</w:t>
            </w:r>
          </w:p>
        </w:tc>
        <w:tc>
          <w:tcPr>
            <w:tcW w:w="2129" w:type="dxa"/>
            <w:vMerge/>
          </w:tcPr>
          <w:p w14:paraId="33B842BB" w14:textId="77777777" w:rsidR="00DB47F1" w:rsidRPr="00771E1B" w:rsidRDefault="00DB47F1" w:rsidP="009F424C">
            <w:pPr>
              <w:spacing w:line="240" w:lineRule="auto"/>
              <w:rPr>
                <w:rFonts w:ascii="Times New Roman" w:hAnsi="Times New Roman" w:cs="Times New Roman"/>
                <w:sz w:val="20"/>
                <w:szCs w:val="20"/>
                <w:lang w:val="en-US"/>
              </w:rPr>
            </w:pPr>
          </w:p>
        </w:tc>
        <w:tc>
          <w:tcPr>
            <w:tcW w:w="2118" w:type="dxa"/>
            <w:vMerge/>
          </w:tcPr>
          <w:p w14:paraId="3EE4D414" w14:textId="77777777" w:rsidR="00DB47F1" w:rsidRPr="00771E1B" w:rsidRDefault="00DB47F1" w:rsidP="009F424C">
            <w:pPr>
              <w:spacing w:line="240" w:lineRule="auto"/>
              <w:rPr>
                <w:rFonts w:ascii="Times New Roman" w:hAnsi="Times New Roman" w:cs="Times New Roman"/>
                <w:sz w:val="20"/>
                <w:szCs w:val="20"/>
                <w:lang w:val="en-US"/>
              </w:rPr>
            </w:pPr>
          </w:p>
        </w:tc>
      </w:tr>
      <w:tr w:rsidR="00BD5DB5" w:rsidRPr="00771E1B" w14:paraId="5CB76554" w14:textId="77777777" w:rsidTr="002C26AC">
        <w:tc>
          <w:tcPr>
            <w:tcW w:w="560" w:type="dxa"/>
          </w:tcPr>
          <w:p w14:paraId="1D94B77D" w14:textId="7FE431D8" w:rsidR="00F819D2" w:rsidRPr="00771E1B" w:rsidRDefault="00F819D2" w:rsidP="00F819D2">
            <w:pPr>
              <w:spacing w:line="240" w:lineRule="auto"/>
              <w:rPr>
                <w:rFonts w:ascii="Times New Roman" w:hAnsi="Times New Roman" w:cs="Times New Roman"/>
                <w:sz w:val="20"/>
                <w:szCs w:val="20"/>
                <w:lang w:val="en-US"/>
              </w:rPr>
            </w:pPr>
            <w:r w:rsidRPr="00771E1B">
              <w:rPr>
                <w:rFonts w:ascii="Times New Roman" w:hAnsi="Times New Roman" w:cs="Times New Roman"/>
                <w:sz w:val="20"/>
                <w:szCs w:val="20"/>
                <w:lang w:val="en-US"/>
              </w:rPr>
              <w:t>5</w:t>
            </w:r>
          </w:p>
        </w:tc>
        <w:tc>
          <w:tcPr>
            <w:tcW w:w="4538" w:type="dxa"/>
          </w:tcPr>
          <w:p w14:paraId="6D4FEFF4" w14:textId="678DA9CE" w:rsidR="00F819D2" w:rsidRPr="00771E1B" w:rsidRDefault="00C805BE" w:rsidP="00C805BE">
            <w:pPr>
              <w:spacing w:line="240" w:lineRule="auto"/>
              <w:rPr>
                <w:rFonts w:ascii="Times New Roman" w:hAnsi="Times New Roman" w:cs="Times New Roman"/>
                <w:sz w:val="20"/>
                <w:szCs w:val="20"/>
              </w:rPr>
            </w:pPr>
            <w:r w:rsidRPr="00C805BE">
              <w:rPr>
                <w:rFonts w:ascii="Times New Roman" w:hAnsi="Times New Roman" w:cs="Times New Roman"/>
                <w:sz w:val="20"/>
                <w:szCs w:val="20"/>
                <w:lang w:val="en-US"/>
              </w:rPr>
              <w:t>t is necessary to consider the possibility of obtaining access to tools and mechanisms (information systems) to carry out a comprehensive analysis and due diligence of foreign counterparties.</w:t>
            </w:r>
          </w:p>
        </w:tc>
        <w:tc>
          <w:tcPr>
            <w:tcW w:w="2129" w:type="dxa"/>
          </w:tcPr>
          <w:p w14:paraId="2EB550AA" w14:textId="4E4FD43B" w:rsidR="00F819D2" w:rsidRPr="00771E1B" w:rsidRDefault="00C805BE" w:rsidP="00F819D2">
            <w:pPr>
              <w:spacing w:line="240" w:lineRule="auto"/>
              <w:rPr>
                <w:rFonts w:ascii="Times New Roman" w:hAnsi="Times New Roman" w:cs="Times New Roman"/>
                <w:sz w:val="20"/>
                <w:szCs w:val="20"/>
                <w:lang w:val="en-US"/>
              </w:rPr>
            </w:pPr>
            <w:r w:rsidRPr="00C805BE">
              <w:rPr>
                <w:rFonts w:ascii="Times New Roman" w:hAnsi="Times New Roman" w:cs="Times New Roman"/>
                <w:sz w:val="20"/>
                <w:szCs w:val="20"/>
                <w:lang w:val="en-US"/>
              </w:rPr>
              <w:t>Access to the relevant service for verifying foreign counterparties has been obtained.</w:t>
            </w:r>
          </w:p>
        </w:tc>
        <w:tc>
          <w:tcPr>
            <w:tcW w:w="2118" w:type="dxa"/>
          </w:tcPr>
          <w:p w14:paraId="1F92EAB2" w14:textId="77777777" w:rsidR="00C805BE" w:rsidRPr="00C805BE" w:rsidRDefault="00C805BE" w:rsidP="00C805BE">
            <w:pPr>
              <w:spacing w:line="240" w:lineRule="auto"/>
              <w:rPr>
                <w:rFonts w:ascii="Times New Roman" w:hAnsi="Times New Roman" w:cs="Times New Roman"/>
                <w:sz w:val="20"/>
                <w:szCs w:val="20"/>
              </w:rPr>
            </w:pPr>
            <w:r w:rsidRPr="00C805BE">
              <w:rPr>
                <w:rFonts w:ascii="Times New Roman" w:hAnsi="Times New Roman" w:cs="Times New Roman"/>
                <w:sz w:val="20"/>
                <w:szCs w:val="20"/>
              </w:rPr>
              <w:t>Under consideration.</w:t>
            </w:r>
          </w:p>
          <w:p w14:paraId="7CE44852" w14:textId="230F5DEC" w:rsidR="00F819D2" w:rsidRPr="00771E1B" w:rsidRDefault="00F819D2" w:rsidP="00F819D2">
            <w:pPr>
              <w:spacing w:line="240" w:lineRule="auto"/>
              <w:rPr>
                <w:rFonts w:ascii="Times New Roman" w:hAnsi="Times New Roman" w:cs="Times New Roman"/>
                <w:sz w:val="20"/>
                <w:szCs w:val="20"/>
              </w:rPr>
            </w:pPr>
          </w:p>
        </w:tc>
      </w:tr>
      <w:tr w:rsidR="00BD5DB5" w:rsidRPr="00771E1B" w14:paraId="75CD2E7B" w14:textId="77777777" w:rsidTr="002C26AC">
        <w:tc>
          <w:tcPr>
            <w:tcW w:w="560" w:type="dxa"/>
          </w:tcPr>
          <w:p w14:paraId="6805A9E4" w14:textId="70592753" w:rsidR="00F819D2" w:rsidRPr="00771E1B" w:rsidRDefault="00F819D2" w:rsidP="00F819D2">
            <w:pPr>
              <w:spacing w:line="240" w:lineRule="auto"/>
              <w:rPr>
                <w:rFonts w:ascii="Times New Roman" w:hAnsi="Times New Roman" w:cs="Times New Roman"/>
                <w:sz w:val="20"/>
                <w:szCs w:val="20"/>
                <w:lang w:val="en-US"/>
              </w:rPr>
            </w:pPr>
            <w:r w:rsidRPr="00771E1B">
              <w:rPr>
                <w:rFonts w:ascii="Times New Roman" w:hAnsi="Times New Roman" w:cs="Times New Roman"/>
                <w:sz w:val="20"/>
                <w:szCs w:val="20"/>
                <w:lang w:val="en-US"/>
              </w:rPr>
              <w:t>6</w:t>
            </w:r>
          </w:p>
        </w:tc>
        <w:tc>
          <w:tcPr>
            <w:tcW w:w="4538" w:type="dxa"/>
          </w:tcPr>
          <w:p w14:paraId="3C536D90" w14:textId="4AFFB44F" w:rsidR="00F819D2" w:rsidRPr="00771E1B" w:rsidRDefault="00EE5039" w:rsidP="00F819D2">
            <w:pPr>
              <w:spacing w:line="240" w:lineRule="auto"/>
              <w:rPr>
                <w:rFonts w:ascii="Times New Roman" w:hAnsi="Times New Roman" w:cs="Times New Roman"/>
                <w:sz w:val="20"/>
                <w:szCs w:val="20"/>
                <w:lang w:val="en-US"/>
              </w:rPr>
            </w:pPr>
            <w:r w:rsidRPr="00771E1B">
              <w:rPr>
                <w:rFonts w:ascii="Times New Roman" w:hAnsi="Times New Roman" w:cs="Times New Roman"/>
                <w:sz w:val="20"/>
                <w:szCs w:val="20"/>
                <w:lang w:val="en-US"/>
              </w:rPr>
              <w:t>To address the legal gap, adopt an internal regulatory document establishing comprehensive grounds and procedures for decision-making by an official, since the absence of provisions regulating the competence of the official and/or the subject of analysis creates the possibility of arbitrary determination of authority.</w:t>
            </w:r>
          </w:p>
        </w:tc>
        <w:tc>
          <w:tcPr>
            <w:tcW w:w="2129" w:type="dxa"/>
          </w:tcPr>
          <w:p w14:paraId="679F1011" w14:textId="304AB7A1" w:rsidR="00F819D2" w:rsidRPr="00771E1B" w:rsidRDefault="00EE5039" w:rsidP="00F819D2">
            <w:pPr>
              <w:spacing w:line="240" w:lineRule="auto"/>
              <w:rPr>
                <w:rFonts w:ascii="Times New Roman" w:hAnsi="Times New Roman" w:cs="Times New Roman"/>
                <w:sz w:val="20"/>
                <w:szCs w:val="20"/>
                <w:lang w:val="en-US"/>
              </w:rPr>
            </w:pPr>
            <w:r w:rsidRPr="00771E1B">
              <w:rPr>
                <w:rFonts w:ascii="Times New Roman" w:hAnsi="Times New Roman" w:cs="Times New Roman"/>
                <w:sz w:val="20"/>
                <w:szCs w:val="20"/>
                <w:lang w:val="en-US"/>
              </w:rPr>
              <w:t>In accordance with the Rules for the Development of Internal Regulatory Documents, develop and approve the relevant internal regulatory document regulating the competence of the official and/or the subject of analysis.</w:t>
            </w:r>
          </w:p>
        </w:tc>
        <w:tc>
          <w:tcPr>
            <w:tcW w:w="2118" w:type="dxa"/>
          </w:tcPr>
          <w:p w14:paraId="375CF692" w14:textId="77777777" w:rsidR="00EE5039" w:rsidRPr="00EE5039" w:rsidRDefault="00EE5039" w:rsidP="00EE5039">
            <w:pPr>
              <w:rPr>
                <w:rFonts w:ascii="Times New Roman" w:hAnsi="Times New Roman" w:cs="Times New Roman"/>
                <w:sz w:val="20"/>
                <w:szCs w:val="20"/>
                <w:lang w:val="en-US"/>
              </w:rPr>
            </w:pPr>
            <w:r w:rsidRPr="00EE5039">
              <w:rPr>
                <w:rFonts w:ascii="Times New Roman" w:hAnsi="Times New Roman" w:cs="Times New Roman"/>
                <w:sz w:val="20"/>
                <w:szCs w:val="20"/>
                <w:lang w:val="en-US"/>
              </w:rPr>
              <w:t>By Resolution of the Management Board of JSC “MCZTIP,” two internal regulatory documents (IRDs) have been adopted:</w:t>
            </w:r>
          </w:p>
          <w:p w14:paraId="046C167C" w14:textId="39A22DDE" w:rsidR="00EE5039" w:rsidRPr="00EE5039" w:rsidRDefault="00EE5039" w:rsidP="00EE5039">
            <w:pPr>
              <w:rPr>
                <w:rFonts w:ascii="Times New Roman" w:hAnsi="Times New Roman" w:cs="Times New Roman"/>
                <w:sz w:val="20"/>
                <w:szCs w:val="20"/>
                <w:lang w:val="en-US"/>
              </w:rPr>
            </w:pPr>
            <w:r w:rsidRPr="00771E1B">
              <w:rPr>
                <w:rFonts w:ascii="Times New Roman" w:hAnsi="Times New Roman" w:cs="Times New Roman"/>
                <w:sz w:val="20"/>
                <w:szCs w:val="20"/>
                <w:lang w:val="en-US"/>
              </w:rPr>
              <w:t xml:space="preserve">1. </w:t>
            </w:r>
            <w:r w:rsidRPr="00EE5039">
              <w:rPr>
                <w:rFonts w:ascii="Times New Roman" w:hAnsi="Times New Roman" w:cs="Times New Roman"/>
                <w:sz w:val="20"/>
                <w:szCs w:val="20"/>
                <w:lang w:val="en-US"/>
              </w:rPr>
              <w:t xml:space="preserve">Regulation on the Selection of Jury Members and Participants of the GCIP – Kazakhstan Acceleration Program; </w:t>
            </w:r>
          </w:p>
          <w:p w14:paraId="5C384573" w14:textId="49FE9970" w:rsidR="00F819D2" w:rsidRPr="00771E1B" w:rsidRDefault="00EE5039" w:rsidP="00EE5039">
            <w:pPr>
              <w:rPr>
                <w:rFonts w:ascii="Times New Roman" w:hAnsi="Times New Roman" w:cs="Times New Roman"/>
                <w:sz w:val="20"/>
                <w:szCs w:val="20"/>
              </w:rPr>
            </w:pPr>
            <w:r w:rsidRPr="00771E1B">
              <w:rPr>
                <w:rFonts w:ascii="Times New Roman" w:hAnsi="Times New Roman" w:cs="Times New Roman"/>
                <w:sz w:val="20"/>
                <w:szCs w:val="20"/>
                <w:lang w:val="en-US"/>
              </w:rPr>
              <w:t xml:space="preserve">2. </w:t>
            </w:r>
            <w:r w:rsidRPr="00EE5039">
              <w:rPr>
                <w:rFonts w:ascii="Times New Roman" w:hAnsi="Times New Roman" w:cs="Times New Roman"/>
                <w:sz w:val="20"/>
                <w:szCs w:val="20"/>
                <w:lang w:val="en-US"/>
              </w:rPr>
              <w:t>Regulation on the GCIP – Kazakhstan Project Management Committee.</w:t>
            </w:r>
          </w:p>
        </w:tc>
      </w:tr>
      <w:tr w:rsidR="00BD5DB5" w:rsidRPr="00771E1B" w14:paraId="4E82D5FC" w14:textId="77777777" w:rsidTr="002C26AC">
        <w:tc>
          <w:tcPr>
            <w:tcW w:w="560" w:type="dxa"/>
          </w:tcPr>
          <w:p w14:paraId="43EF3278" w14:textId="27467EBC" w:rsidR="00DB47F1" w:rsidRPr="00771E1B" w:rsidRDefault="00DB47F1" w:rsidP="00F819D2">
            <w:pPr>
              <w:spacing w:line="240" w:lineRule="auto"/>
              <w:rPr>
                <w:rFonts w:ascii="Times New Roman" w:hAnsi="Times New Roman" w:cs="Times New Roman"/>
                <w:sz w:val="20"/>
                <w:szCs w:val="20"/>
                <w:lang w:val="en-US"/>
              </w:rPr>
            </w:pPr>
            <w:r w:rsidRPr="00771E1B">
              <w:rPr>
                <w:rFonts w:ascii="Times New Roman" w:hAnsi="Times New Roman" w:cs="Times New Roman"/>
                <w:sz w:val="20"/>
                <w:szCs w:val="20"/>
                <w:lang w:val="en-US"/>
              </w:rPr>
              <w:t>7</w:t>
            </w:r>
          </w:p>
        </w:tc>
        <w:tc>
          <w:tcPr>
            <w:tcW w:w="4538" w:type="dxa"/>
          </w:tcPr>
          <w:p w14:paraId="4A6FEF9F" w14:textId="298B3FF4" w:rsidR="00DB47F1" w:rsidRPr="00771E1B" w:rsidRDefault="00874D58" w:rsidP="00F819D2">
            <w:pPr>
              <w:spacing w:line="240" w:lineRule="auto"/>
              <w:rPr>
                <w:rFonts w:ascii="Times New Roman" w:hAnsi="Times New Roman" w:cs="Times New Roman"/>
                <w:sz w:val="20"/>
                <w:szCs w:val="20"/>
                <w:lang w:val="en-US"/>
              </w:rPr>
            </w:pPr>
            <w:r w:rsidRPr="00771E1B">
              <w:rPr>
                <w:rFonts w:ascii="Times New Roman" w:hAnsi="Times New Roman" w:cs="Times New Roman"/>
                <w:sz w:val="20"/>
                <w:szCs w:val="20"/>
                <w:lang w:val="en-US"/>
              </w:rPr>
              <w:t>It is necessary to bring Clause 12 of the Regulations into compliance with Clause 17 of the Rules on Remuneration, Incentives, and Social Support for the Company’s Employees, thereby eliminating conflicts within the internal regulatory documents.</w:t>
            </w:r>
          </w:p>
        </w:tc>
        <w:tc>
          <w:tcPr>
            <w:tcW w:w="2129" w:type="dxa"/>
            <w:vMerge w:val="restart"/>
          </w:tcPr>
          <w:p w14:paraId="43489249" w14:textId="50CD9E6B" w:rsidR="00DB47F1" w:rsidRPr="00771E1B" w:rsidRDefault="00001891" w:rsidP="00F819D2">
            <w:pPr>
              <w:spacing w:line="240" w:lineRule="auto"/>
              <w:rPr>
                <w:rFonts w:ascii="Times New Roman" w:hAnsi="Times New Roman" w:cs="Times New Roman"/>
                <w:sz w:val="20"/>
                <w:szCs w:val="20"/>
                <w:lang w:val="en-US"/>
              </w:rPr>
            </w:pPr>
            <w:r w:rsidRPr="00771E1B">
              <w:rPr>
                <w:rFonts w:ascii="Times New Roman" w:hAnsi="Times New Roman" w:cs="Times New Roman"/>
                <w:sz w:val="20"/>
                <w:szCs w:val="20"/>
                <w:lang w:val="en-US"/>
              </w:rPr>
              <w:t xml:space="preserve">In accordance with the Rules for the Development of Internal Regulatory Documents, introduce amendments and/or additions to subparagraph 2) of </w:t>
            </w:r>
            <w:r w:rsidRPr="00771E1B">
              <w:rPr>
                <w:rFonts w:ascii="Times New Roman" w:hAnsi="Times New Roman" w:cs="Times New Roman"/>
                <w:sz w:val="20"/>
                <w:szCs w:val="20"/>
                <w:lang w:val="en-US"/>
              </w:rPr>
              <w:lastRenderedPageBreak/>
              <w:t>Clause 10, as well as Clauses 12, 34, and 162 of the Personnel Management Regulations.</w:t>
            </w:r>
          </w:p>
        </w:tc>
        <w:tc>
          <w:tcPr>
            <w:tcW w:w="2118" w:type="dxa"/>
            <w:vMerge w:val="restart"/>
          </w:tcPr>
          <w:p w14:paraId="5220C718" w14:textId="28F7B0D3" w:rsidR="00DB47F1" w:rsidRPr="00771E1B" w:rsidRDefault="00814EC7" w:rsidP="00F819D2">
            <w:pPr>
              <w:spacing w:line="240" w:lineRule="auto"/>
              <w:rPr>
                <w:rFonts w:ascii="Times New Roman" w:hAnsi="Times New Roman" w:cs="Times New Roman"/>
                <w:sz w:val="20"/>
                <w:szCs w:val="20"/>
                <w:lang w:val="en-US"/>
              </w:rPr>
            </w:pPr>
            <w:r w:rsidRPr="00771E1B">
              <w:rPr>
                <w:rFonts w:ascii="Times New Roman" w:hAnsi="Times New Roman" w:cs="Times New Roman"/>
                <w:sz w:val="20"/>
                <w:szCs w:val="20"/>
                <w:lang w:val="en-US"/>
              </w:rPr>
              <w:lastRenderedPageBreak/>
              <w:t xml:space="preserve">By Resolution No. 16 of the Company’s Management Board dated May 29, 2025, amendments and additions were made to the Personnel </w:t>
            </w:r>
            <w:r w:rsidRPr="00771E1B">
              <w:rPr>
                <w:rFonts w:ascii="Times New Roman" w:hAnsi="Times New Roman" w:cs="Times New Roman"/>
                <w:sz w:val="20"/>
                <w:szCs w:val="20"/>
                <w:lang w:val="en-US"/>
              </w:rPr>
              <w:lastRenderedPageBreak/>
              <w:t>Management Regulations.</w:t>
            </w:r>
          </w:p>
        </w:tc>
      </w:tr>
      <w:tr w:rsidR="00BD5DB5" w:rsidRPr="00771E1B" w14:paraId="399C586B" w14:textId="77777777" w:rsidTr="002C26AC">
        <w:tc>
          <w:tcPr>
            <w:tcW w:w="560" w:type="dxa"/>
          </w:tcPr>
          <w:p w14:paraId="79BF2F55" w14:textId="5678B535" w:rsidR="00DB47F1" w:rsidRPr="00771E1B" w:rsidRDefault="00DB47F1" w:rsidP="00F819D2">
            <w:pPr>
              <w:spacing w:line="240" w:lineRule="auto"/>
              <w:rPr>
                <w:rFonts w:ascii="Times New Roman" w:hAnsi="Times New Roman" w:cs="Times New Roman"/>
                <w:sz w:val="20"/>
                <w:szCs w:val="20"/>
                <w:lang w:val="en-US"/>
              </w:rPr>
            </w:pPr>
            <w:r w:rsidRPr="00771E1B">
              <w:rPr>
                <w:rFonts w:ascii="Times New Roman" w:hAnsi="Times New Roman" w:cs="Times New Roman"/>
                <w:sz w:val="20"/>
                <w:szCs w:val="20"/>
                <w:lang w:val="en-US"/>
              </w:rPr>
              <w:t>8</w:t>
            </w:r>
          </w:p>
        </w:tc>
        <w:tc>
          <w:tcPr>
            <w:tcW w:w="4538" w:type="dxa"/>
          </w:tcPr>
          <w:p w14:paraId="3687BFF9" w14:textId="55DC2361" w:rsidR="00DB47F1" w:rsidRPr="00771E1B" w:rsidRDefault="00874D58" w:rsidP="00F819D2">
            <w:pPr>
              <w:spacing w:line="240" w:lineRule="auto"/>
              <w:rPr>
                <w:rFonts w:ascii="Times New Roman" w:hAnsi="Times New Roman" w:cs="Times New Roman"/>
                <w:sz w:val="20"/>
                <w:szCs w:val="20"/>
                <w:lang w:val="en-US"/>
              </w:rPr>
            </w:pPr>
            <w:r w:rsidRPr="00771E1B">
              <w:rPr>
                <w:rFonts w:ascii="Times New Roman" w:hAnsi="Times New Roman" w:cs="Times New Roman"/>
                <w:sz w:val="20"/>
                <w:szCs w:val="20"/>
                <w:lang w:val="en-US"/>
              </w:rPr>
              <w:t xml:space="preserve">In order to prevent the emergence of causes and conditions that may contribute to corruption offenses, it is proposed to supplement the Regulations with a </w:t>
            </w:r>
            <w:r w:rsidRPr="00771E1B">
              <w:rPr>
                <w:rFonts w:ascii="Times New Roman" w:hAnsi="Times New Roman" w:cs="Times New Roman"/>
                <w:sz w:val="20"/>
                <w:szCs w:val="20"/>
                <w:lang w:val="en-US"/>
              </w:rPr>
              <w:lastRenderedPageBreak/>
              <w:t>separate clause regulating the procedure for selecting candidates from among the Company’s employees.</w:t>
            </w:r>
          </w:p>
        </w:tc>
        <w:tc>
          <w:tcPr>
            <w:tcW w:w="2129" w:type="dxa"/>
            <w:vMerge/>
          </w:tcPr>
          <w:p w14:paraId="10DC831C" w14:textId="77777777" w:rsidR="00DB47F1" w:rsidRPr="00771E1B" w:rsidRDefault="00DB47F1" w:rsidP="00F819D2">
            <w:pPr>
              <w:spacing w:line="240" w:lineRule="auto"/>
              <w:rPr>
                <w:rFonts w:ascii="Times New Roman" w:hAnsi="Times New Roman" w:cs="Times New Roman"/>
                <w:sz w:val="20"/>
                <w:szCs w:val="20"/>
                <w:lang w:val="en-US"/>
              </w:rPr>
            </w:pPr>
          </w:p>
        </w:tc>
        <w:tc>
          <w:tcPr>
            <w:tcW w:w="2118" w:type="dxa"/>
            <w:vMerge/>
          </w:tcPr>
          <w:p w14:paraId="769E7FDE" w14:textId="77777777" w:rsidR="00DB47F1" w:rsidRPr="00771E1B" w:rsidRDefault="00DB47F1" w:rsidP="00F819D2">
            <w:pPr>
              <w:spacing w:line="240" w:lineRule="auto"/>
              <w:rPr>
                <w:rFonts w:ascii="Times New Roman" w:hAnsi="Times New Roman" w:cs="Times New Roman"/>
                <w:sz w:val="20"/>
                <w:szCs w:val="20"/>
                <w:lang w:val="en-US"/>
              </w:rPr>
            </w:pPr>
          </w:p>
        </w:tc>
      </w:tr>
      <w:tr w:rsidR="00BD5DB5" w:rsidRPr="00771E1B" w14:paraId="3399D942" w14:textId="77777777" w:rsidTr="002C26AC">
        <w:tc>
          <w:tcPr>
            <w:tcW w:w="560" w:type="dxa"/>
          </w:tcPr>
          <w:p w14:paraId="2E7C8256" w14:textId="6FCC93F5" w:rsidR="00DB47F1" w:rsidRPr="00771E1B" w:rsidRDefault="00DB47F1" w:rsidP="00F819D2">
            <w:pPr>
              <w:spacing w:line="240" w:lineRule="auto"/>
              <w:rPr>
                <w:rFonts w:ascii="Times New Roman" w:hAnsi="Times New Roman" w:cs="Times New Roman"/>
                <w:sz w:val="20"/>
                <w:szCs w:val="20"/>
                <w:lang w:val="en-US"/>
              </w:rPr>
            </w:pPr>
            <w:r w:rsidRPr="00771E1B">
              <w:rPr>
                <w:rFonts w:ascii="Times New Roman" w:hAnsi="Times New Roman" w:cs="Times New Roman"/>
                <w:sz w:val="20"/>
                <w:szCs w:val="20"/>
                <w:lang w:val="en-US"/>
              </w:rPr>
              <w:t>9</w:t>
            </w:r>
          </w:p>
        </w:tc>
        <w:tc>
          <w:tcPr>
            <w:tcW w:w="4538" w:type="dxa"/>
          </w:tcPr>
          <w:p w14:paraId="79A0E638" w14:textId="6E164D00" w:rsidR="00DB47F1" w:rsidRPr="00771E1B" w:rsidRDefault="00874D58" w:rsidP="00F819D2">
            <w:pPr>
              <w:spacing w:line="240" w:lineRule="auto"/>
              <w:rPr>
                <w:rFonts w:ascii="Times New Roman" w:hAnsi="Times New Roman" w:cs="Times New Roman"/>
                <w:sz w:val="20"/>
                <w:szCs w:val="20"/>
                <w:lang w:val="en-US"/>
              </w:rPr>
            </w:pPr>
            <w:r w:rsidRPr="00771E1B">
              <w:rPr>
                <w:rFonts w:ascii="Times New Roman" w:hAnsi="Times New Roman" w:cs="Times New Roman"/>
                <w:sz w:val="20"/>
                <w:szCs w:val="20"/>
                <w:shd w:val="clear" w:color="auto" w:fill="FFFFFF"/>
                <w:lang w:val="en-US"/>
              </w:rPr>
              <w:t>It is necessary to introduce the appropriate amendments and/or additions to subparagraph 2) of Clause 10 of the Regulations to eliminate the possibility of causes and conditions that may contribute to corruption offenses related to the creation of an “advantageous” organizational structure for the implementer.</w:t>
            </w:r>
          </w:p>
        </w:tc>
        <w:tc>
          <w:tcPr>
            <w:tcW w:w="2129" w:type="dxa"/>
            <w:vMerge/>
          </w:tcPr>
          <w:p w14:paraId="2CACEF67" w14:textId="77777777" w:rsidR="00DB47F1" w:rsidRPr="00771E1B" w:rsidRDefault="00DB47F1" w:rsidP="00F819D2">
            <w:pPr>
              <w:spacing w:line="240" w:lineRule="auto"/>
              <w:rPr>
                <w:rFonts w:ascii="Times New Roman" w:hAnsi="Times New Roman" w:cs="Times New Roman"/>
                <w:sz w:val="20"/>
                <w:szCs w:val="20"/>
                <w:lang w:val="en-US"/>
              </w:rPr>
            </w:pPr>
          </w:p>
        </w:tc>
        <w:tc>
          <w:tcPr>
            <w:tcW w:w="2118" w:type="dxa"/>
            <w:vMerge/>
          </w:tcPr>
          <w:p w14:paraId="0168FC0B" w14:textId="77777777" w:rsidR="00DB47F1" w:rsidRPr="00771E1B" w:rsidRDefault="00DB47F1" w:rsidP="00F819D2">
            <w:pPr>
              <w:spacing w:line="240" w:lineRule="auto"/>
              <w:rPr>
                <w:rFonts w:ascii="Times New Roman" w:hAnsi="Times New Roman" w:cs="Times New Roman"/>
                <w:sz w:val="20"/>
                <w:szCs w:val="20"/>
                <w:lang w:val="en-US"/>
              </w:rPr>
            </w:pPr>
          </w:p>
        </w:tc>
      </w:tr>
      <w:tr w:rsidR="00BD5DB5" w:rsidRPr="00771E1B" w14:paraId="362B73A9" w14:textId="77777777" w:rsidTr="002C26AC">
        <w:tc>
          <w:tcPr>
            <w:tcW w:w="560" w:type="dxa"/>
          </w:tcPr>
          <w:p w14:paraId="418A5643" w14:textId="59A5B250" w:rsidR="00F14EBE" w:rsidRPr="00771E1B" w:rsidRDefault="00F14EBE" w:rsidP="00F14EBE">
            <w:pPr>
              <w:spacing w:line="240" w:lineRule="auto"/>
              <w:rPr>
                <w:rFonts w:ascii="Times New Roman" w:hAnsi="Times New Roman" w:cs="Times New Roman"/>
                <w:sz w:val="20"/>
                <w:szCs w:val="20"/>
                <w:lang w:val="en-US"/>
              </w:rPr>
            </w:pPr>
            <w:r w:rsidRPr="00771E1B">
              <w:rPr>
                <w:rFonts w:ascii="Times New Roman" w:hAnsi="Times New Roman" w:cs="Times New Roman"/>
                <w:sz w:val="20"/>
                <w:szCs w:val="20"/>
                <w:lang w:val="en-US"/>
              </w:rPr>
              <w:t>10</w:t>
            </w:r>
          </w:p>
        </w:tc>
        <w:tc>
          <w:tcPr>
            <w:tcW w:w="4538" w:type="dxa"/>
          </w:tcPr>
          <w:p w14:paraId="731C2121" w14:textId="1B8BAA98" w:rsidR="00F14EBE" w:rsidRPr="00771E1B" w:rsidRDefault="006B7F36" w:rsidP="00F14EBE">
            <w:pPr>
              <w:spacing w:line="240" w:lineRule="auto"/>
              <w:rPr>
                <w:rFonts w:ascii="Times New Roman" w:hAnsi="Times New Roman" w:cs="Times New Roman"/>
                <w:sz w:val="20"/>
                <w:szCs w:val="20"/>
                <w:lang w:val="en-US"/>
              </w:rPr>
            </w:pPr>
            <w:r w:rsidRPr="00771E1B">
              <w:rPr>
                <w:rFonts w:ascii="Times New Roman" w:hAnsi="Times New Roman" w:cs="Times New Roman"/>
                <w:sz w:val="20"/>
                <w:szCs w:val="20"/>
                <w:lang w:val="en-US"/>
              </w:rPr>
              <w:t>It is necessary to amend Clause 9–1 of the Rules on Remuneration and Social Support for the Chairman of the Management Board, Deputy Chairmen of the Management Board, members of the Management Board, as well as employees of the Internal Audit Service, the Compliance Service, and the Corporate Secretary of the Company, to remove references to the “Compliance Service” and the “Internal Audit Service” from the content of Clause 9–1.</w:t>
            </w:r>
          </w:p>
        </w:tc>
        <w:tc>
          <w:tcPr>
            <w:tcW w:w="2129" w:type="dxa"/>
          </w:tcPr>
          <w:p w14:paraId="192FD232" w14:textId="21610BAA" w:rsidR="00F14EBE" w:rsidRPr="00771E1B" w:rsidRDefault="006B7F36" w:rsidP="00F14EBE">
            <w:pPr>
              <w:spacing w:line="240" w:lineRule="auto"/>
              <w:rPr>
                <w:rFonts w:ascii="Times New Roman" w:hAnsi="Times New Roman" w:cs="Times New Roman"/>
                <w:sz w:val="20"/>
                <w:szCs w:val="20"/>
                <w:lang w:val="en-US"/>
              </w:rPr>
            </w:pPr>
            <w:r w:rsidRPr="00771E1B">
              <w:rPr>
                <w:rFonts w:ascii="Times New Roman" w:hAnsi="Times New Roman" w:cs="Times New Roman"/>
                <w:sz w:val="20"/>
                <w:szCs w:val="20"/>
                <w:lang w:val="en-US"/>
              </w:rPr>
              <w:t>Introduce amendments and/or additions to Clause 9–1 of the Rules on Remuneration and Social Support for the Chairman of the Management Board, Deputy Chairmen of the Management Board, members of the Management Board, as well as employees of the Internal Audit Service, the Compliance Service, and the Corporate Secretary of the Company.</w:t>
            </w:r>
          </w:p>
        </w:tc>
        <w:tc>
          <w:tcPr>
            <w:tcW w:w="2118" w:type="dxa"/>
          </w:tcPr>
          <w:p w14:paraId="5A9F8E85" w14:textId="489E8B38" w:rsidR="00F14EBE" w:rsidRPr="00771E1B" w:rsidRDefault="006B7F36" w:rsidP="00F14EBE">
            <w:pPr>
              <w:spacing w:line="240" w:lineRule="auto"/>
              <w:rPr>
                <w:rFonts w:ascii="Times New Roman" w:hAnsi="Times New Roman" w:cs="Times New Roman"/>
                <w:sz w:val="20"/>
                <w:szCs w:val="20"/>
                <w:lang w:val="en-US"/>
              </w:rPr>
            </w:pPr>
            <w:r w:rsidRPr="00771E1B">
              <w:rPr>
                <w:rFonts w:ascii="Times New Roman" w:hAnsi="Times New Roman" w:cs="Times New Roman"/>
                <w:sz w:val="20"/>
                <w:szCs w:val="20"/>
                <w:lang w:val="en-US"/>
              </w:rPr>
              <w:t>The corresponding amendments have been prepared and coordinated with the Compliance Service, and the materials are scheduled for consideration at the upcoming Board of Directors meeting (February).</w:t>
            </w:r>
          </w:p>
        </w:tc>
      </w:tr>
      <w:tr w:rsidR="00BD5DB5" w:rsidRPr="00771E1B" w14:paraId="1D92E75A" w14:textId="77777777" w:rsidTr="002C26AC">
        <w:tc>
          <w:tcPr>
            <w:tcW w:w="560" w:type="dxa"/>
          </w:tcPr>
          <w:p w14:paraId="28BD0101" w14:textId="27EF15EE" w:rsidR="00DB47F1" w:rsidRPr="00771E1B" w:rsidRDefault="00DB47F1" w:rsidP="00F14EBE">
            <w:pPr>
              <w:spacing w:line="240" w:lineRule="auto"/>
              <w:rPr>
                <w:rFonts w:ascii="Times New Roman" w:hAnsi="Times New Roman" w:cs="Times New Roman"/>
                <w:sz w:val="20"/>
                <w:szCs w:val="20"/>
                <w:lang w:val="en-US"/>
              </w:rPr>
            </w:pPr>
            <w:r w:rsidRPr="00771E1B">
              <w:rPr>
                <w:rFonts w:ascii="Times New Roman" w:hAnsi="Times New Roman" w:cs="Times New Roman"/>
                <w:sz w:val="20"/>
                <w:szCs w:val="20"/>
                <w:lang w:val="en-US"/>
              </w:rPr>
              <w:t>11</w:t>
            </w:r>
          </w:p>
        </w:tc>
        <w:tc>
          <w:tcPr>
            <w:tcW w:w="4538" w:type="dxa"/>
          </w:tcPr>
          <w:p w14:paraId="75DC4932" w14:textId="39613EA1" w:rsidR="00DB47F1" w:rsidRPr="00771E1B" w:rsidRDefault="00E76749" w:rsidP="00F14EBE">
            <w:pPr>
              <w:spacing w:line="240" w:lineRule="auto"/>
              <w:rPr>
                <w:rFonts w:ascii="Times New Roman" w:hAnsi="Times New Roman" w:cs="Times New Roman"/>
                <w:sz w:val="20"/>
                <w:szCs w:val="20"/>
                <w:lang w:val="en-US"/>
              </w:rPr>
            </w:pPr>
            <w:r w:rsidRPr="00771E1B">
              <w:rPr>
                <w:rFonts w:ascii="Times New Roman" w:hAnsi="Times New Roman" w:cs="Times New Roman"/>
                <w:sz w:val="20"/>
                <w:szCs w:val="20"/>
                <w:shd w:val="clear" w:color="auto" w:fill="FFFFFF"/>
                <w:lang w:val="en-US"/>
              </w:rPr>
              <w:t>It is necessary to introduce the appropriate amendments and/or additions to Clause 23 of the Rules on Remuneration, Incentives, and Social Support for the Company’s Employees, eliminating the presence of broad discretionary powers of the official.</w:t>
            </w:r>
          </w:p>
        </w:tc>
        <w:tc>
          <w:tcPr>
            <w:tcW w:w="2129" w:type="dxa"/>
            <w:vMerge w:val="restart"/>
          </w:tcPr>
          <w:p w14:paraId="1EF0E818" w14:textId="39D76700" w:rsidR="00DB47F1" w:rsidRPr="00771E1B" w:rsidRDefault="00A619DD" w:rsidP="00F14EBE">
            <w:pPr>
              <w:spacing w:line="240" w:lineRule="auto"/>
              <w:rPr>
                <w:rFonts w:ascii="Times New Roman" w:hAnsi="Times New Roman" w:cs="Times New Roman"/>
                <w:sz w:val="20"/>
                <w:szCs w:val="20"/>
                <w:lang w:val="en-US"/>
              </w:rPr>
            </w:pPr>
            <w:r w:rsidRPr="00771E1B">
              <w:rPr>
                <w:rFonts w:ascii="Times New Roman" w:hAnsi="Times New Roman" w:cs="Times New Roman"/>
                <w:sz w:val="20"/>
                <w:szCs w:val="20"/>
                <w:lang w:val="en-US"/>
              </w:rPr>
              <w:t>In accordance with the Rules for the Development of Internal Regulatory Documents, introduce amendments and/or additions to Clauses 23 and 26 of the Rules on Remuneration, Incentives, and Social Support for the Company’s Employees.</w:t>
            </w:r>
          </w:p>
        </w:tc>
        <w:tc>
          <w:tcPr>
            <w:tcW w:w="2118" w:type="dxa"/>
            <w:vMerge w:val="restart"/>
          </w:tcPr>
          <w:p w14:paraId="1B04ADF9" w14:textId="0B8F383A" w:rsidR="00DB47F1" w:rsidRPr="00771E1B" w:rsidRDefault="00A619DD" w:rsidP="00F14EBE">
            <w:pPr>
              <w:spacing w:line="240" w:lineRule="auto"/>
              <w:rPr>
                <w:rFonts w:ascii="Times New Roman" w:hAnsi="Times New Roman" w:cs="Times New Roman"/>
                <w:sz w:val="20"/>
                <w:szCs w:val="20"/>
                <w:lang w:val="en-US"/>
              </w:rPr>
            </w:pPr>
            <w:r w:rsidRPr="00771E1B">
              <w:rPr>
                <w:rFonts w:ascii="Times New Roman" w:hAnsi="Times New Roman" w:cs="Times New Roman"/>
                <w:sz w:val="20"/>
                <w:szCs w:val="20"/>
                <w:lang w:val="en-US"/>
              </w:rPr>
              <w:t>By Resolution No. 16 of the Company’s Management Board dated May 29, 2025, amendments were made to the Rules on Remuneration, Incentives, and Social Support for the Company’s Employees.</w:t>
            </w:r>
          </w:p>
        </w:tc>
      </w:tr>
      <w:tr w:rsidR="00BD5DB5" w:rsidRPr="00771E1B" w14:paraId="6298CF81" w14:textId="77777777" w:rsidTr="002C26AC">
        <w:tc>
          <w:tcPr>
            <w:tcW w:w="560" w:type="dxa"/>
          </w:tcPr>
          <w:p w14:paraId="261E710C" w14:textId="333BDE2D" w:rsidR="00DB47F1" w:rsidRPr="00771E1B" w:rsidRDefault="00DB47F1" w:rsidP="00F819D2">
            <w:pPr>
              <w:spacing w:line="240" w:lineRule="auto"/>
              <w:rPr>
                <w:rFonts w:ascii="Times New Roman" w:hAnsi="Times New Roman" w:cs="Times New Roman"/>
                <w:sz w:val="20"/>
                <w:szCs w:val="20"/>
                <w:lang w:val="en-US"/>
              </w:rPr>
            </w:pPr>
            <w:r w:rsidRPr="00771E1B">
              <w:rPr>
                <w:rFonts w:ascii="Times New Roman" w:hAnsi="Times New Roman" w:cs="Times New Roman"/>
                <w:sz w:val="20"/>
                <w:szCs w:val="20"/>
                <w:lang w:val="en-US"/>
              </w:rPr>
              <w:t>12</w:t>
            </w:r>
          </w:p>
        </w:tc>
        <w:tc>
          <w:tcPr>
            <w:tcW w:w="4538" w:type="dxa"/>
          </w:tcPr>
          <w:p w14:paraId="78E3A5DC" w14:textId="42EDD372" w:rsidR="00DB47F1" w:rsidRPr="00771E1B" w:rsidRDefault="00A619DD" w:rsidP="00F819D2">
            <w:pPr>
              <w:spacing w:line="240" w:lineRule="auto"/>
              <w:rPr>
                <w:rFonts w:ascii="Times New Roman" w:hAnsi="Times New Roman" w:cs="Times New Roman"/>
                <w:sz w:val="20"/>
                <w:szCs w:val="20"/>
                <w:lang w:val="en-US"/>
              </w:rPr>
            </w:pPr>
            <w:r w:rsidRPr="00771E1B">
              <w:rPr>
                <w:rFonts w:ascii="Times New Roman" w:hAnsi="Times New Roman" w:cs="Times New Roman"/>
                <w:sz w:val="20"/>
                <w:szCs w:val="20"/>
                <w:shd w:val="clear" w:color="auto" w:fill="FFFFFF"/>
                <w:lang w:val="en-US"/>
              </w:rPr>
              <w:t>It is necessary to introduce the appropriate amendments and/or additions to Clause 26 of the Rules on Remuneration, Incentives, and Social Support for the Company’s Employees, eliminating the presence of broad discretionary powers of the head of a structural subdivision, and specifying concrete deadlines for decision-making and for preparing a submission to adjust an employee’s position salary.</w:t>
            </w:r>
          </w:p>
        </w:tc>
        <w:tc>
          <w:tcPr>
            <w:tcW w:w="2129" w:type="dxa"/>
            <w:vMerge/>
          </w:tcPr>
          <w:p w14:paraId="505ED438" w14:textId="77777777" w:rsidR="00DB47F1" w:rsidRPr="00771E1B" w:rsidRDefault="00DB47F1" w:rsidP="00F819D2">
            <w:pPr>
              <w:spacing w:line="240" w:lineRule="auto"/>
              <w:rPr>
                <w:rFonts w:ascii="Times New Roman" w:hAnsi="Times New Roman" w:cs="Times New Roman"/>
                <w:sz w:val="20"/>
                <w:szCs w:val="20"/>
                <w:lang w:val="en-US"/>
              </w:rPr>
            </w:pPr>
          </w:p>
        </w:tc>
        <w:tc>
          <w:tcPr>
            <w:tcW w:w="2118" w:type="dxa"/>
            <w:vMerge/>
          </w:tcPr>
          <w:p w14:paraId="61004661" w14:textId="77777777" w:rsidR="00DB47F1" w:rsidRPr="00771E1B" w:rsidRDefault="00DB47F1" w:rsidP="00F819D2">
            <w:pPr>
              <w:spacing w:line="240" w:lineRule="auto"/>
              <w:rPr>
                <w:rFonts w:ascii="Times New Roman" w:hAnsi="Times New Roman" w:cs="Times New Roman"/>
                <w:sz w:val="20"/>
                <w:szCs w:val="20"/>
                <w:lang w:val="en-US"/>
              </w:rPr>
            </w:pPr>
          </w:p>
        </w:tc>
      </w:tr>
    </w:tbl>
    <w:p w14:paraId="187A2F4D" w14:textId="77777777" w:rsidR="00117F6E" w:rsidRPr="00771E1B" w:rsidRDefault="00117F6E" w:rsidP="002E47C3">
      <w:pPr>
        <w:spacing w:after="0" w:line="240" w:lineRule="auto"/>
        <w:ind w:right="283"/>
        <w:jc w:val="both"/>
        <w:rPr>
          <w:rFonts w:ascii="Times New Roman" w:hAnsi="Times New Roman" w:cs="Times New Roman"/>
          <w:b/>
          <w:bCs/>
          <w:sz w:val="20"/>
          <w:szCs w:val="20"/>
          <w:lang w:val="en-US"/>
        </w:rPr>
      </w:pPr>
    </w:p>
    <w:p w14:paraId="111E0AE1" w14:textId="66705357" w:rsidR="007A7171" w:rsidRPr="00771E1B" w:rsidRDefault="00A619DD" w:rsidP="00AB6301">
      <w:pPr>
        <w:spacing w:after="0" w:line="240" w:lineRule="auto"/>
        <w:ind w:right="283" w:firstLine="709"/>
        <w:jc w:val="both"/>
        <w:rPr>
          <w:rFonts w:ascii="Times New Roman" w:hAnsi="Times New Roman" w:cs="Times New Roman"/>
          <w:b/>
          <w:bCs/>
          <w:sz w:val="20"/>
          <w:szCs w:val="20"/>
          <w:lang w:val="en-US"/>
        </w:rPr>
      </w:pPr>
      <w:r w:rsidRPr="00771E1B">
        <w:rPr>
          <w:rFonts w:ascii="Times New Roman" w:hAnsi="Times New Roman" w:cs="Times New Roman"/>
          <w:b/>
          <w:bCs/>
          <w:sz w:val="20"/>
          <w:szCs w:val="20"/>
          <w:lang w:val="en-US"/>
        </w:rPr>
        <w:t>Head of the Compliance Service</w:t>
      </w:r>
      <w:r w:rsidR="00853866" w:rsidRPr="00771E1B">
        <w:rPr>
          <w:rFonts w:ascii="Times New Roman" w:hAnsi="Times New Roman" w:cs="Times New Roman"/>
          <w:b/>
          <w:bCs/>
          <w:sz w:val="20"/>
          <w:szCs w:val="20"/>
          <w:lang w:val="en-US"/>
        </w:rPr>
        <w:t xml:space="preserve">    </w:t>
      </w:r>
      <w:r w:rsidRPr="00771E1B">
        <w:rPr>
          <w:rFonts w:ascii="Times New Roman" w:hAnsi="Times New Roman" w:cs="Times New Roman"/>
          <w:b/>
          <w:bCs/>
          <w:sz w:val="20"/>
          <w:szCs w:val="20"/>
          <w:lang w:val="en-US"/>
        </w:rPr>
        <w:t xml:space="preserve"> E. Khairullin</w:t>
      </w:r>
    </w:p>
    <w:sectPr w:rsidR="007A7171" w:rsidRPr="00771E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54452E"/>
    <w:multiLevelType w:val="multilevel"/>
    <w:tmpl w:val="8B082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3162882"/>
    <w:multiLevelType w:val="multilevel"/>
    <w:tmpl w:val="63D45A8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16cid:durableId="1759790583">
    <w:abstractNumId w:val="1"/>
  </w:num>
  <w:num w:numId="2" w16cid:durableId="443425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E5C"/>
    <w:rsid w:val="00001891"/>
    <w:rsid w:val="00006EAC"/>
    <w:rsid w:val="000227DD"/>
    <w:rsid w:val="00030083"/>
    <w:rsid w:val="00050EA4"/>
    <w:rsid w:val="00066168"/>
    <w:rsid w:val="00073AE1"/>
    <w:rsid w:val="000831E0"/>
    <w:rsid w:val="000966DB"/>
    <w:rsid w:val="000971D7"/>
    <w:rsid w:val="000A39EF"/>
    <w:rsid w:val="000C00EC"/>
    <w:rsid w:val="000C16A7"/>
    <w:rsid w:val="000C33AD"/>
    <w:rsid w:val="000D43B5"/>
    <w:rsid w:val="000E5639"/>
    <w:rsid w:val="00117F6E"/>
    <w:rsid w:val="0013269C"/>
    <w:rsid w:val="00134941"/>
    <w:rsid w:val="0013522E"/>
    <w:rsid w:val="00151E4D"/>
    <w:rsid w:val="00190F21"/>
    <w:rsid w:val="001F6941"/>
    <w:rsid w:val="002135EA"/>
    <w:rsid w:val="0022316F"/>
    <w:rsid w:val="00226EC8"/>
    <w:rsid w:val="00231EEB"/>
    <w:rsid w:val="00246EFD"/>
    <w:rsid w:val="0028733A"/>
    <w:rsid w:val="00295B46"/>
    <w:rsid w:val="002A1619"/>
    <w:rsid w:val="002A31B9"/>
    <w:rsid w:val="002B33A0"/>
    <w:rsid w:val="002C26AC"/>
    <w:rsid w:val="002C7592"/>
    <w:rsid w:val="002E47C3"/>
    <w:rsid w:val="002F64EE"/>
    <w:rsid w:val="00307F46"/>
    <w:rsid w:val="00310F49"/>
    <w:rsid w:val="0032195C"/>
    <w:rsid w:val="003220A3"/>
    <w:rsid w:val="0032603A"/>
    <w:rsid w:val="00363DA5"/>
    <w:rsid w:val="003A7F1A"/>
    <w:rsid w:val="003B43E2"/>
    <w:rsid w:val="003C235B"/>
    <w:rsid w:val="003E252F"/>
    <w:rsid w:val="00400302"/>
    <w:rsid w:val="004035EB"/>
    <w:rsid w:val="00421AE2"/>
    <w:rsid w:val="00421B0D"/>
    <w:rsid w:val="00425115"/>
    <w:rsid w:val="00457B6E"/>
    <w:rsid w:val="004835A2"/>
    <w:rsid w:val="004A1E43"/>
    <w:rsid w:val="004B7E48"/>
    <w:rsid w:val="004D0666"/>
    <w:rsid w:val="004D39C9"/>
    <w:rsid w:val="004E3E5C"/>
    <w:rsid w:val="004F1E21"/>
    <w:rsid w:val="0051265A"/>
    <w:rsid w:val="00522880"/>
    <w:rsid w:val="00551066"/>
    <w:rsid w:val="00551C56"/>
    <w:rsid w:val="00557549"/>
    <w:rsid w:val="00585F89"/>
    <w:rsid w:val="005A535C"/>
    <w:rsid w:val="005B1C4D"/>
    <w:rsid w:val="005B66D7"/>
    <w:rsid w:val="005D75F9"/>
    <w:rsid w:val="005F7BE4"/>
    <w:rsid w:val="00621542"/>
    <w:rsid w:val="00621F2C"/>
    <w:rsid w:val="00635B51"/>
    <w:rsid w:val="006365C6"/>
    <w:rsid w:val="0068578C"/>
    <w:rsid w:val="006A4002"/>
    <w:rsid w:val="006B6671"/>
    <w:rsid w:val="006B7F36"/>
    <w:rsid w:val="006D32B0"/>
    <w:rsid w:val="006F19E6"/>
    <w:rsid w:val="006F203E"/>
    <w:rsid w:val="006F3642"/>
    <w:rsid w:val="00713053"/>
    <w:rsid w:val="00715E77"/>
    <w:rsid w:val="0073107E"/>
    <w:rsid w:val="00735EEA"/>
    <w:rsid w:val="007504A1"/>
    <w:rsid w:val="0077107A"/>
    <w:rsid w:val="00771E1B"/>
    <w:rsid w:val="00772AEF"/>
    <w:rsid w:val="00776241"/>
    <w:rsid w:val="00781E31"/>
    <w:rsid w:val="007A7171"/>
    <w:rsid w:val="0081092C"/>
    <w:rsid w:val="00814EC7"/>
    <w:rsid w:val="00815312"/>
    <w:rsid w:val="00821CF4"/>
    <w:rsid w:val="00822BBC"/>
    <w:rsid w:val="00840BB6"/>
    <w:rsid w:val="00846A33"/>
    <w:rsid w:val="00853866"/>
    <w:rsid w:val="00861582"/>
    <w:rsid w:val="00870C12"/>
    <w:rsid w:val="00874D58"/>
    <w:rsid w:val="008933BE"/>
    <w:rsid w:val="008D33B6"/>
    <w:rsid w:val="008D614E"/>
    <w:rsid w:val="008E10BA"/>
    <w:rsid w:val="008E156F"/>
    <w:rsid w:val="00911479"/>
    <w:rsid w:val="009235A6"/>
    <w:rsid w:val="00931E10"/>
    <w:rsid w:val="0094019E"/>
    <w:rsid w:val="00941F90"/>
    <w:rsid w:val="00947B68"/>
    <w:rsid w:val="0095113F"/>
    <w:rsid w:val="009571DE"/>
    <w:rsid w:val="00961D2F"/>
    <w:rsid w:val="009647D3"/>
    <w:rsid w:val="00984605"/>
    <w:rsid w:val="009C1448"/>
    <w:rsid w:val="009C61F1"/>
    <w:rsid w:val="009F424C"/>
    <w:rsid w:val="009F4C2B"/>
    <w:rsid w:val="009F6393"/>
    <w:rsid w:val="00A0741D"/>
    <w:rsid w:val="00A2370A"/>
    <w:rsid w:val="00A619DD"/>
    <w:rsid w:val="00A85808"/>
    <w:rsid w:val="00A876EB"/>
    <w:rsid w:val="00AA237E"/>
    <w:rsid w:val="00AB6301"/>
    <w:rsid w:val="00AC019C"/>
    <w:rsid w:val="00AC7269"/>
    <w:rsid w:val="00AD463C"/>
    <w:rsid w:val="00AF36A7"/>
    <w:rsid w:val="00B06639"/>
    <w:rsid w:val="00B11D29"/>
    <w:rsid w:val="00B153C1"/>
    <w:rsid w:val="00B21546"/>
    <w:rsid w:val="00B22055"/>
    <w:rsid w:val="00B25ACC"/>
    <w:rsid w:val="00B716A4"/>
    <w:rsid w:val="00B8685C"/>
    <w:rsid w:val="00BA2123"/>
    <w:rsid w:val="00BB57A1"/>
    <w:rsid w:val="00BC2C7B"/>
    <w:rsid w:val="00BC53EF"/>
    <w:rsid w:val="00BD5DB5"/>
    <w:rsid w:val="00BE455E"/>
    <w:rsid w:val="00BF1823"/>
    <w:rsid w:val="00BF4A4D"/>
    <w:rsid w:val="00C05279"/>
    <w:rsid w:val="00C07779"/>
    <w:rsid w:val="00C20A48"/>
    <w:rsid w:val="00C531EE"/>
    <w:rsid w:val="00C805BE"/>
    <w:rsid w:val="00C8248C"/>
    <w:rsid w:val="00C90E9F"/>
    <w:rsid w:val="00CC7F26"/>
    <w:rsid w:val="00CF7A63"/>
    <w:rsid w:val="00D311F4"/>
    <w:rsid w:val="00D45F21"/>
    <w:rsid w:val="00D47772"/>
    <w:rsid w:val="00D56A87"/>
    <w:rsid w:val="00D71E87"/>
    <w:rsid w:val="00D8383A"/>
    <w:rsid w:val="00DB47F1"/>
    <w:rsid w:val="00DC391A"/>
    <w:rsid w:val="00DE015D"/>
    <w:rsid w:val="00DE5DEB"/>
    <w:rsid w:val="00DF1221"/>
    <w:rsid w:val="00E17B31"/>
    <w:rsid w:val="00E41C89"/>
    <w:rsid w:val="00E55C70"/>
    <w:rsid w:val="00E65A11"/>
    <w:rsid w:val="00E71A5E"/>
    <w:rsid w:val="00E76749"/>
    <w:rsid w:val="00E9710E"/>
    <w:rsid w:val="00EB0814"/>
    <w:rsid w:val="00EB0FC5"/>
    <w:rsid w:val="00EE0EE6"/>
    <w:rsid w:val="00EE3DF0"/>
    <w:rsid w:val="00EE4845"/>
    <w:rsid w:val="00EE5039"/>
    <w:rsid w:val="00EF40B7"/>
    <w:rsid w:val="00F12FA8"/>
    <w:rsid w:val="00F14EBE"/>
    <w:rsid w:val="00F422B5"/>
    <w:rsid w:val="00F507AF"/>
    <w:rsid w:val="00F65DA0"/>
    <w:rsid w:val="00F819D2"/>
    <w:rsid w:val="00FA3C0B"/>
    <w:rsid w:val="00FF57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37CC4"/>
  <w15:chartTrackingRefBased/>
  <w15:docId w15:val="{3164C40B-C250-41BD-A36A-9621E0EA6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269C"/>
    <w:pPr>
      <w:spacing w:line="259" w:lineRule="auto"/>
    </w:pPr>
    <w:rPr>
      <w:kern w:val="0"/>
      <w:sz w:val="22"/>
      <w:szCs w:val="22"/>
      <w14:ligatures w14:val="none"/>
    </w:rPr>
  </w:style>
  <w:style w:type="paragraph" w:styleId="1">
    <w:name w:val="heading 1"/>
    <w:basedOn w:val="a"/>
    <w:next w:val="a"/>
    <w:link w:val="10"/>
    <w:uiPriority w:val="9"/>
    <w:qFormat/>
    <w:rsid w:val="004E3E5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4E3E5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4E3E5C"/>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4E3E5C"/>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5">
    <w:name w:val="heading 5"/>
    <w:basedOn w:val="a"/>
    <w:next w:val="a"/>
    <w:link w:val="50"/>
    <w:uiPriority w:val="9"/>
    <w:semiHidden/>
    <w:unhideWhenUsed/>
    <w:qFormat/>
    <w:rsid w:val="004E3E5C"/>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6">
    <w:name w:val="heading 6"/>
    <w:basedOn w:val="a"/>
    <w:next w:val="a"/>
    <w:link w:val="60"/>
    <w:uiPriority w:val="9"/>
    <w:semiHidden/>
    <w:unhideWhenUsed/>
    <w:qFormat/>
    <w:rsid w:val="004E3E5C"/>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4E3E5C"/>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4E3E5C"/>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4E3E5C"/>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E3E5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E3E5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E3E5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E3E5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E3E5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E3E5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E3E5C"/>
    <w:rPr>
      <w:rFonts w:eastAsiaTheme="majorEastAsia" w:cstheme="majorBidi"/>
      <w:color w:val="595959" w:themeColor="text1" w:themeTint="A6"/>
    </w:rPr>
  </w:style>
  <w:style w:type="character" w:customStyle="1" w:styleId="80">
    <w:name w:val="Заголовок 8 Знак"/>
    <w:basedOn w:val="a0"/>
    <w:link w:val="8"/>
    <w:uiPriority w:val="9"/>
    <w:semiHidden/>
    <w:rsid w:val="004E3E5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E3E5C"/>
    <w:rPr>
      <w:rFonts w:eastAsiaTheme="majorEastAsia" w:cstheme="majorBidi"/>
      <w:color w:val="272727" w:themeColor="text1" w:themeTint="D8"/>
    </w:rPr>
  </w:style>
  <w:style w:type="paragraph" w:styleId="a3">
    <w:name w:val="Title"/>
    <w:basedOn w:val="a"/>
    <w:next w:val="a"/>
    <w:link w:val="a4"/>
    <w:uiPriority w:val="10"/>
    <w:qFormat/>
    <w:rsid w:val="004E3E5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4E3E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3E5C"/>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4E3E5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E3E5C"/>
    <w:pPr>
      <w:spacing w:before="160" w:line="278" w:lineRule="auto"/>
      <w:jc w:val="center"/>
    </w:pPr>
    <w:rPr>
      <w:i/>
      <w:iCs/>
      <w:color w:val="404040" w:themeColor="text1" w:themeTint="BF"/>
      <w:kern w:val="2"/>
      <w:sz w:val="24"/>
      <w:szCs w:val="24"/>
      <w14:ligatures w14:val="standardContextual"/>
    </w:rPr>
  </w:style>
  <w:style w:type="character" w:customStyle="1" w:styleId="22">
    <w:name w:val="Цитата 2 Знак"/>
    <w:basedOn w:val="a0"/>
    <w:link w:val="21"/>
    <w:uiPriority w:val="29"/>
    <w:rsid w:val="004E3E5C"/>
    <w:rPr>
      <w:i/>
      <w:iCs/>
      <w:color w:val="404040" w:themeColor="text1" w:themeTint="BF"/>
    </w:rPr>
  </w:style>
  <w:style w:type="paragraph" w:styleId="a7">
    <w:name w:val="List Paragraph"/>
    <w:aliases w:val="маркированный,Абзац списка1,List Paragraph,Heading1,Colorful List - Accent 11,без абзаца,ПАРАГРАФ,Bullets,List Paragraph (numbered (a)),NUMBERED PARAGRAPH,List Paragraph 1,List_Paragraph,Multilevel para_II,Akapit z listą BS,Bullet 1,HEAD 3"/>
    <w:basedOn w:val="a"/>
    <w:link w:val="a8"/>
    <w:uiPriority w:val="34"/>
    <w:qFormat/>
    <w:rsid w:val="004E3E5C"/>
    <w:pPr>
      <w:spacing w:line="278" w:lineRule="auto"/>
      <w:ind w:left="720"/>
      <w:contextualSpacing/>
    </w:pPr>
    <w:rPr>
      <w:kern w:val="2"/>
      <w:sz w:val="24"/>
      <w:szCs w:val="24"/>
      <w14:ligatures w14:val="standardContextual"/>
    </w:rPr>
  </w:style>
  <w:style w:type="character" w:styleId="a9">
    <w:name w:val="Intense Emphasis"/>
    <w:basedOn w:val="a0"/>
    <w:uiPriority w:val="21"/>
    <w:qFormat/>
    <w:rsid w:val="004E3E5C"/>
    <w:rPr>
      <w:i/>
      <w:iCs/>
      <w:color w:val="0F4761" w:themeColor="accent1" w:themeShade="BF"/>
    </w:rPr>
  </w:style>
  <w:style w:type="paragraph" w:styleId="aa">
    <w:name w:val="Intense Quote"/>
    <w:basedOn w:val="a"/>
    <w:next w:val="a"/>
    <w:link w:val="ab"/>
    <w:uiPriority w:val="30"/>
    <w:qFormat/>
    <w:rsid w:val="004E3E5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ab">
    <w:name w:val="Выделенная цитата Знак"/>
    <w:basedOn w:val="a0"/>
    <w:link w:val="aa"/>
    <w:uiPriority w:val="30"/>
    <w:rsid w:val="004E3E5C"/>
    <w:rPr>
      <w:i/>
      <w:iCs/>
      <w:color w:val="0F4761" w:themeColor="accent1" w:themeShade="BF"/>
    </w:rPr>
  </w:style>
  <w:style w:type="character" w:styleId="ac">
    <w:name w:val="Intense Reference"/>
    <w:basedOn w:val="a0"/>
    <w:uiPriority w:val="32"/>
    <w:qFormat/>
    <w:rsid w:val="004E3E5C"/>
    <w:rPr>
      <w:b/>
      <w:bCs/>
      <w:smallCaps/>
      <w:color w:val="0F4761" w:themeColor="accent1" w:themeShade="BF"/>
      <w:spacing w:val="5"/>
    </w:rPr>
  </w:style>
  <w:style w:type="paragraph" w:customStyle="1" w:styleId="pj">
    <w:name w:val="pj"/>
    <w:basedOn w:val="a"/>
    <w:rsid w:val="00781E31"/>
    <w:pPr>
      <w:spacing w:after="0" w:line="240" w:lineRule="auto"/>
      <w:ind w:firstLine="400"/>
      <w:jc w:val="both"/>
    </w:pPr>
    <w:rPr>
      <w:rFonts w:ascii="Times New Roman" w:eastAsiaTheme="minorEastAsia" w:hAnsi="Times New Roman" w:cs="Times New Roman"/>
      <w:color w:val="000000"/>
      <w:sz w:val="24"/>
      <w:szCs w:val="24"/>
      <w:lang w:eastAsia="ru-RU"/>
    </w:rPr>
  </w:style>
  <w:style w:type="character" w:customStyle="1" w:styleId="a8">
    <w:name w:val="Абзац списка Знак"/>
    <w:aliases w:val="маркированный Знак,Абзац списка1 Знак,List Paragraph Знак,Heading1 Знак,Colorful List - Accent 11 Знак,без абзаца Знак,ПАРАГРАФ Знак,Bullets Знак,List Paragraph (numbered (a)) Знак,NUMBERED PARAGRAPH Знак,List Paragraph 1 Знак"/>
    <w:link w:val="a7"/>
    <w:uiPriority w:val="34"/>
    <w:qFormat/>
    <w:locked/>
    <w:rsid w:val="0032195C"/>
  </w:style>
  <w:style w:type="table" w:styleId="ad">
    <w:name w:val="Table Grid"/>
    <w:basedOn w:val="a1"/>
    <w:uiPriority w:val="39"/>
    <w:rsid w:val="00CF7A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979</Words>
  <Characters>5585</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Yeraman Khairullin</dc:creator>
  <cp:keywords/>
  <dc:description/>
  <cp:lastModifiedBy>Жумагул Смаил</cp:lastModifiedBy>
  <cp:revision>2</cp:revision>
  <dcterms:created xsi:type="dcterms:W3CDTF">2026-04-16T04:46:00Z</dcterms:created>
  <dcterms:modified xsi:type="dcterms:W3CDTF">2026-04-16T04:46:00Z</dcterms:modified>
</cp:coreProperties>
</file>